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pPr>
      <w:r>
        <w:t>Public Exposure Audit of the Hoeflin Power Test</w:t>
      </w:r>
    </w:p>
    <w:p>
      <w:pPr>
        <w:spacing w:after="160"/>
      </w:pPr>
      <w:r>
        <w:rPr>
          <w:rFonts w:ascii="Calibri" w:hAnsi="Calibri"/>
          <w:b w:val="0"/>
          <w:i/>
          <w:color w:val="667085"/>
          <w:sz w:val="21"/>
        </w:rPr>
        <w:t>Two-page executive report with 36-item evidence matrix and reproducibility appendix</w:t>
      </w:r>
    </w:p>
    <w:p>
      <w:pPr>
        <w:spacing w:after="40"/>
      </w:pPr>
      <w:r>
        <w:rPr>
          <w:rFonts w:ascii="Calibri" w:hAnsi="Calibri"/>
          <w:b/>
          <w:i w:val="0"/>
          <w:color w:val="667085"/>
          <w:sz w:val="17"/>
        </w:rPr>
        <w:t xml:space="preserve">TO  </w:t>
      </w:r>
      <w:r>
        <w:rPr>
          <w:rFonts w:ascii="Calibri" w:hAnsi="Calibri"/>
          <w:b/>
          <w:i w:val="0"/>
          <w:color w:val="1F4E79"/>
          <w:sz w:val="19"/>
        </w:rPr>
        <w:t>The Mega Society</w:t>
      </w:r>
    </w:p>
    <w:p>
      <w:pPr>
        <w:spacing w:after="40"/>
      </w:pPr>
      <w:r>
        <w:rPr>
          <w:rFonts w:ascii="Calibri" w:hAnsi="Calibri"/>
          <w:b/>
          <w:i w:val="0"/>
          <w:color w:val="667085"/>
          <w:sz w:val="17"/>
        </w:rPr>
        <w:t xml:space="preserve">DATE  </w:t>
      </w:r>
      <w:r>
        <w:rPr>
          <w:rFonts w:ascii="Calibri" w:hAnsi="Calibri"/>
          <w:b/>
          <w:i w:val="0"/>
          <w:color w:val="1F4E79"/>
          <w:sz w:val="19"/>
        </w:rPr>
        <w:t>3 August 2026</w:t>
      </w:r>
    </w:p>
    <w:p>
      <w:pPr>
        <w:spacing w:after="40"/>
      </w:pPr>
      <w:r>
        <w:rPr>
          <w:rFonts w:ascii="Calibri" w:hAnsi="Calibri"/>
          <w:b/>
          <w:i w:val="0"/>
          <w:color w:val="667085"/>
          <w:sz w:val="17"/>
        </w:rPr>
        <w:t xml:space="preserve">PURPOSE  </w:t>
      </w:r>
      <w:r>
        <w:rPr>
          <w:rFonts w:ascii="Calibri" w:hAnsi="Calibri"/>
          <w:b/>
          <w:i w:val="0"/>
          <w:color w:val="1F4E79"/>
          <w:sz w:val="19"/>
        </w:rPr>
        <w:t>Assess publicly available material that could create prior exposure; not to allege actual access by any person</w:t>
      </w:r>
    </w:p>
    <w:p>
      <w:pPr>
        <w:pStyle w:val="Heading1"/>
      </w:pPr>
      <w:r>
        <w:t>Executive summary</w:t>
      </w:r>
    </w:p>
    <w:p>
      <w:r>
        <w:rPr>
          <w:rFonts w:ascii="Calibri" w:hAnsi="Calibri"/>
          <w:b/>
          <w:i w:val="0"/>
          <w:color w:val="1F4E79"/>
          <w:sz w:val="20"/>
        </w:rPr>
        <w:t xml:space="preserve">Result. </w:t>
      </w:r>
      <w:r>
        <w:rPr>
          <w:rFonts w:ascii="Calibri" w:hAnsi="Calibri"/>
          <w:b w:val="0"/>
          <w:i w:val="0"/>
          <w:sz w:val="20"/>
        </w:rPr>
        <w:t>Public sources provide high-confidence evidence of substantive answer or hint exposure for 24 of the 36 Power Test items, medium-confidence evidence for four, and only prompt-level or no substantive match for eight. “High confidence” means confidence that relevant material was publicly available; it does not prove that a test-taker saw it, and it does not authenticate every unofficial answer.</w:t>
      </w:r>
    </w:p>
    <w:tbl>
      <w:tblPr>
        <w:tblW w:type="dxa" w:w="9360"/>
        <w:jc w:val="center"/>
        <w:tblLayout w:type="fixed"/>
        <w:tblLook w:firstColumn="1" w:firstRow="1" w:lastColumn="0" w:lastRow="0" w:noHBand="0" w:noVBand="1" w:val="04A0"/>
      </w:tblPr>
      <w:tblGrid>
        <w:gridCol w:w="9936"/>
      </w:tblGrid>
      <w:tr>
        <w:tc>
          <w:tcPr>
            <w:tcW w:type="dxa" w:w="9936"/>
            <w:shd w:fill="D9EAF7"/>
            <w:tcMar>
              <w:top w:w="110" w:type="dxa"/>
              <w:start w:w="150" w:type="dxa"/>
              <w:bottom w:w="110" w:type="dxa"/>
              <w:end w:w="150" w:type="dxa"/>
            </w:tcMar>
          </w:tcPr>
          <w:p>
            <w:pPr>
              <w:spacing w:after="40"/>
            </w:pPr>
            <w:r>
              <w:rPr>
                <w:rFonts w:ascii="Calibri" w:hAnsi="Calibri"/>
                <w:b/>
                <w:i w:val="0"/>
                <w:color w:val="1F4E79"/>
                <w:sz w:val="19"/>
              </w:rPr>
              <w:t xml:space="preserve">Most consequential finding.  </w:t>
            </w:r>
            <w:r>
              <w:rPr>
                <w:rFonts w:ascii="Calibri" w:hAnsi="Calibri"/>
                <w:b w:val="0"/>
                <w:i w:val="0"/>
                <w:sz w:val="19"/>
              </w:rPr>
              <w:t>The Power Test openly states that it reuses the best items from the Mega, Titan and Ultra tests [O1]. A searchable Titan copy explicitly maps 14 Titan items to current Power items; a public rec.puzzles thread from October 2005 posts candidate answers and, for several, detailed derivations [T1, U1]. This creates an identifiable exposure channel predating many later forum reposts.</w:t>
            </w:r>
          </w:p>
        </w:tc>
      </w:tr>
    </w:tbl>
    <w:p>
      <w:pPr>
        <w:spacing w:after="0"/>
      </w:pPr>
    </w:p>
    <w:p>
      <w:pPr>
        <w:pStyle w:val="Heading2"/>
      </w:pPr>
      <w:r>
        <w:t>Scope and method</w:t>
      </w:r>
    </w:p>
    <w:p>
      <w:pPr>
        <w:spacing w:after="100"/>
      </w:pPr>
      <w:r>
        <w:t>The current official 36-item page and the July 1996 Noesis publication were used as the wording/numbering baseline [O1–O2]. Uploaded reports and matrices were treated as leads, not authorities. Every retained match was re-opened or corroborated through searchable public indexing. Searches combined exact distinctive phrases, item numbers, predecessor mappings, solution terminology, and theorem/method names across Usenet archives, Reddit, Physics Forums, StackExchange/Puzzling, blogs, books and academic sources. Candidate answers were classified as exposure even when their correctness was disputed; numerical answer values are not reproduced in this report.</w:t>
      </w:r>
    </w:p>
    <w:p>
      <w:pPr>
        <w:pStyle w:val="Heading2"/>
      </w:pPr>
      <w:r>
        <w:t>Key evidence</w:t>
      </w:r>
    </w:p>
    <w:p>
      <w:pPr>
        <w:pStyle w:val="ListBullet"/>
        <w:spacing w:after="50"/>
        <w:ind w:left="288" w:hanging="202"/>
      </w:pPr>
      <w:r>
        <w:rPr>
          <w:rFonts w:ascii="Calibri" w:hAnsi="Calibri"/>
          <w:b w:val="0"/>
          <w:i w:val="0"/>
          <w:sz w:val="19"/>
        </w:rPr>
        <w:t>Exact current-item worked material: items 1, 7, 8, 12, 14, 15, 18, 20, 26, 31, 32 and 36 have item-specific constructions, calculations, rules, or decisive methods in public discussions.</w:t>
      </w:r>
    </w:p>
    <w:p>
      <w:pPr>
        <w:pStyle w:val="ListBullet"/>
        <w:spacing w:after="50"/>
        <w:ind w:left="288" w:hanging="202"/>
      </w:pPr>
      <w:r>
        <w:rPr>
          <w:rFonts w:ascii="Calibri" w:hAnsi="Calibri"/>
          <w:b w:val="0"/>
          <w:i w:val="0"/>
          <w:sz w:val="19"/>
        </w:rPr>
        <w:t>Exact predecessor channel: Titan items explicitly map to Power 2, 4, 7, 10, 11, 13, 19, 21–25, 27, 29 and 31; the 2005 answer thread provides answer-level material for all except Power 27.</w:t>
      </w:r>
    </w:p>
    <w:p>
      <w:pPr>
        <w:pStyle w:val="ListBullet"/>
        <w:spacing w:after="50"/>
        <w:ind w:left="288" w:hanging="202"/>
      </w:pPr>
      <w:r>
        <w:rPr>
          <w:rFonts w:ascii="Calibri" w:hAnsi="Calibri"/>
          <w:b w:val="0"/>
          <w:i w:val="0"/>
          <w:sz w:val="19"/>
        </w:rPr>
        <w:t>Historic reach: item 8 had a full public solution by November 2001; items 12 and 26 were quoted or paraphrased in a 1988 newspaper; item 32’s transformation rule was posted in December 2024.</w:t>
      </w:r>
    </w:p>
    <w:p>
      <w:pPr>
        <w:pStyle w:val="ListBullet"/>
        <w:spacing w:after="50"/>
        <w:ind w:left="288" w:hanging="202"/>
      </w:pPr>
      <w:r>
        <w:rPr>
          <w:rFonts w:ascii="Calibri" w:hAnsi="Calibri"/>
          <w:b w:val="0"/>
          <w:i w:val="0"/>
          <w:sz w:val="19"/>
        </w:rPr>
        <w:t>Common-trope caution: balanced ternary (14), plane cuts (12), Burnside/Pólya counting (5–8, 29–30) and Hamiltonian-cycle reasoning (21–24) are established methods. Familiarity with a trope is weaker evidence than an exact prompt plus item-specific working.</w:t>
      </w:r>
    </w:p>
    <w:p>
      <w:pPr>
        <w:pStyle w:val="Heading2"/>
      </w:pPr>
      <w:r>
        <w:t>Confidence rubric</w:t>
      </w:r>
    </w:p>
    <w:tbl>
      <w:tblPr>
        <w:tblStyle w:val="TableGrid"/>
        <w:tblW w:type="dxa" w:w="9360"/>
        <w:jc w:val="center"/>
        <w:tblLayout w:type="fixed"/>
        <w:tblLook w:firstColumn="1" w:firstRow="1" w:lastColumn="0" w:lastRow="0" w:noHBand="0" w:noVBand="1" w:val="04A0"/>
      </w:tblPr>
      <w:tblGrid>
        <w:gridCol w:w="4968"/>
        <w:gridCol w:w="4968"/>
      </w:tblGrid>
      <w:tr>
        <w:trPr>
          <w:tblHeader w:val="true"/>
          <w:cantSplit w:val="true"/>
        </w:trPr>
        <w:tc>
          <w:tcPr>
            <w:tcW w:type="dxa" w:w="1200"/>
            <w:shd w:fill="F2F4F7"/>
            <w:tcMar>
              <w:top w:w="80" w:type="dxa"/>
              <w:start w:w="120" w:type="dxa"/>
              <w:bottom w:w="80" w:type="dxa"/>
              <w:end w:w="120" w:type="dxa"/>
            </w:tcMar>
            <w:vAlign w:val="center"/>
          </w:tcPr>
          <w:p>
            <w:pPr>
              <w:spacing w:after="0"/>
            </w:pPr>
            <w:r>
              <w:rPr>
                <w:rFonts w:ascii="Calibri" w:hAnsi="Calibri"/>
                <w:b/>
                <w:i w:val="0"/>
                <w:color w:val="1F4E79"/>
                <w:sz w:val="16"/>
              </w:rPr>
              <w:t>Level</w:t>
            </w:r>
          </w:p>
        </w:tc>
        <w:tc>
          <w:tcPr>
            <w:tcW w:type="dxa" w:w="8160"/>
            <w:shd w:fill="F2F4F7"/>
            <w:tcMar>
              <w:top w:w="80" w:type="dxa"/>
              <w:start w:w="120" w:type="dxa"/>
              <w:bottom w:w="80" w:type="dxa"/>
              <w:end w:w="120" w:type="dxa"/>
            </w:tcMar>
            <w:vAlign w:val="center"/>
          </w:tcPr>
          <w:p>
            <w:pPr>
              <w:spacing w:after="0"/>
            </w:pPr>
            <w:r>
              <w:rPr>
                <w:rFonts w:ascii="Calibri" w:hAnsi="Calibri"/>
                <w:b/>
                <w:i w:val="0"/>
                <w:color w:val="1F4E79"/>
                <w:sz w:val="16"/>
              </w:rPr>
              <w:t>Operational meaning</w:t>
            </w:r>
          </w:p>
        </w:tc>
      </w:tr>
      <w:tr>
        <w:trPr>
          <w:cantSplit w:val="true"/>
        </w:trPr>
        <w:tc>
          <w:tcPr>
            <w:tcW w:type="dxa" w:w="1200"/>
            <w:tcMar>
              <w:top w:w="80" w:type="dxa"/>
              <w:start w:w="120" w:type="dxa"/>
              <w:bottom w:w="80" w:type="dxa"/>
              <w:end w:w="120" w:type="dxa"/>
            </w:tcMar>
            <w:vAlign w:val="top"/>
          </w:tcPr>
          <w:p>
            <w:pPr>
              <w:spacing w:after="0"/>
            </w:pPr>
            <w:r>
              <w:rPr>
                <w:rFonts w:ascii="Calibri" w:hAnsi="Calibri"/>
                <w:b w:val="0"/>
                <w:i w:val="0"/>
                <w:sz w:val="17"/>
              </w:rPr>
              <w:t>High</w:t>
            </w:r>
          </w:p>
        </w:tc>
        <w:tc>
          <w:tcPr>
            <w:tcW w:type="dxa" w:w="8160"/>
            <w:tcMar>
              <w:top w:w="80" w:type="dxa"/>
              <w:start w:w="120" w:type="dxa"/>
              <w:bottom w:w="80" w:type="dxa"/>
              <w:end w:w="120" w:type="dxa"/>
            </w:tcMar>
            <w:vAlign w:val="top"/>
          </w:tcPr>
          <w:p>
            <w:pPr>
              <w:spacing w:after="0"/>
            </w:pPr>
            <w:r>
              <w:rPr>
                <w:rFonts w:ascii="Calibri" w:hAnsi="Calibri"/>
                <w:b w:val="0"/>
                <w:i w:val="0"/>
                <w:sz w:val="17"/>
              </w:rPr>
              <w:t>Exact current item or exact mapped predecessor plus a public answer, construction, derivation, or substantial/decisive hint.</w:t>
            </w:r>
          </w:p>
        </w:tc>
      </w:tr>
      <w:tr>
        <w:trPr>
          <w:cantSplit w:val="true"/>
        </w:trPr>
        <w:tc>
          <w:tcPr>
            <w:tcW w:type="dxa" w:w="1200"/>
            <w:tcMar>
              <w:top w:w="80" w:type="dxa"/>
              <w:start w:w="120" w:type="dxa"/>
              <w:bottom w:w="80" w:type="dxa"/>
              <w:end w:w="120" w:type="dxa"/>
            </w:tcMar>
            <w:vAlign w:val="top"/>
          </w:tcPr>
          <w:p>
            <w:pPr>
              <w:spacing w:after="0"/>
            </w:pPr>
            <w:r>
              <w:rPr>
                <w:rFonts w:ascii="Calibri" w:hAnsi="Calibri"/>
                <w:b w:val="0"/>
                <w:i w:val="0"/>
                <w:sz w:val="17"/>
              </w:rPr>
              <w:t>Medium</w:t>
            </w:r>
          </w:p>
        </w:tc>
        <w:tc>
          <w:tcPr>
            <w:tcW w:type="dxa" w:w="8160"/>
            <w:tcMar>
              <w:top w:w="80" w:type="dxa"/>
              <w:start w:w="120" w:type="dxa"/>
              <w:bottom w:w="80" w:type="dxa"/>
              <w:end w:w="120" w:type="dxa"/>
            </w:tcMar>
            <w:vAlign w:val="top"/>
          </w:tcPr>
          <w:p>
            <w:pPr>
              <w:spacing w:after="0"/>
            </w:pPr>
            <w:r>
              <w:rPr>
                <w:rFonts w:ascii="Calibri" w:hAnsi="Calibri"/>
                <w:b w:val="0"/>
                <w:i w:val="0"/>
                <w:sz w:val="17"/>
              </w:rPr>
              <w:t>Clear item association but only a candidate, inaccessible answer artifact, or method-level overlap without a verified item-specific result.</w:t>
            </w:r>
          </w:p>
        </w:tc>
      </w:tr>
      <w:tr>
        <w:trPr>
          <w:cantSplit w:val="true"/>
        </w:trPr>
        <w:tc>
          <w:tcPr>
            <w:tcW w:type="dxa" w:w="1200"/>
            <w:tcMar>
              <w:top w:w="80" w:type="dxa"/>
              <w:start w:w="120" w:type="dxa"/>
              <w:bottom w:w="80" w:type="dxa"/>
              <w:end w:w="120" w:type="dxa"/>
            </w:tcMar>
            <w:vAlign w:val="top"/>
          </w:tcPr>
          <w:p>
            <w:pPr>
              <w:spacing w:after="0"/>
            </w:pPr>
            <w:r>
              <w:rPr>
                <w:rFonts w:ascii="Calibri" w:hAnsi="Calibri"/>
                <w:b w:val="0"/>
                <w:i w:val="0"/>
                <w:sz w:val="17"/>
              </w:rPr>
              <w:t>Low</w:t>
            </w:r>
          </w:p>
        </w:tc>
        <w:tc>
          <w:tcPr>
            <w:tcW w:type="dxa" w:w="8160"/>
            <w:tcMar>
              <w:top w:w="80" w:type="dxa"/>
              <w:start w:w="120" w:type="dxa"/>
              <w:bottom w:w="80" w:type="dxa"/>
              <w:end w:w="120" w:type="dxa"/>
            </w:tcMar>
            <w:vAlign w:val="top"/>
          </w:tcPr>
          <w:p>
            <w:pPr>
              <w:spacing w:after="0"/>
            </w:pPr>
            <w:r>
              <w:rPr>
                <w:rFonts w:ascii="Calibri" w:hAnsi="Calibri"/>
                <w:b w:val="0"/>
                <w:i w:val="0"/>
                <w:sz w:val="17"/>
              </w:rPr>
              <w:t>Prompt-only exposure, generic trope, or no substantive match found. Absence is not proof that no source exists.</w:t>
            </w:r>
          </w:p>
        </w:tc>
      </w:tr>
    </w:tbl>
    <w:p>
      <w:r>
        <w:br w:type="page"/>
      </w:r>
    </w:p>
    <w:p>
      <w:pPr>
        <w:pStyle w:val="Heading1"/>
      </w:pPr>
      <w:r>
        <w:t>Core finding map</w:t>
      </w:r>
    </w:p>
    <w:p>
      <w:pPr>
        <w:spacing w:after="100"/>
      </w:pPr>
      <w:r>
        <w:t>The table below consolidates the strongest retained evidence. Source codes are hyperlinked and expanded in Appendix B; the full item-by-item assessment appears in Appendix A.</w:t>
      </w:r>
    </w:p>
    <w:tbl>
      <w:tblPr>
        <w:tblStyle w:val="TableGrid"/>
        <w:tblW w:type="dxa" w:w="9360"/>
        <w:jc w:val="center"/>
        <w:tblLayout w:type="fixed"/>
        <w:tblLook w:firstColumn="1" w:firstRow="1" w:lastColumn="0" w:lastRow="0" w:noHBand="0" w:noVBand="1" w:val="04A0"/>
      </w:tblPr>
      <w:tblGrid>
        <w:gridCol w:w="1987"/>
        <w:gridCol w:w="1987"/>
        <w:gridCol w:w="1987"/>
        <w:gridCol w:w="1987"/>
        <w:gridCol w:w="1987"/>
      </w:tblGrid>
      <w:tr>
        <w:trPr>
          <w:tblHeader w:val="true"/>
          <w:cantSplit w:val="true"/>
        </w:trPr>
        <w:tc>
          <w:tcPr>
            <w:tcW w:type="dxa" w:w="900"/>
            <w:shd w:fill="F2F4F7"/>
            <w:tcMar>
              <w:top w:w="80" w:type="dxa"/>
              <w:start w:w="120" w:type="dxa"/>
              <w:bottom w:w="80" w:type="dxa"/>
              <w:end w:w="120" w:type="dxa"/>
            </w:tcMar>
            <w:vAlign w:val="center"/>
          </w:tcPr>
          <w:p>
            <w:pPr>
              <w:spacing w:after="0"/>
            </w:pPr>
            <w:r>
              <w:rPr>
                <w:rFonts w:ascii="Calibri" w:hAnsi="Calibri"/>
                <w:b/>
                <w:i w:val="0"/>
                <w:color w:val="1F4E79"/>
                <w:sz w:val="16"/>
              </w:rPr>
              <w:t>Item(s)</w:t>
            </w:r>
          </w:p>
        </w:tc>
        <w:tc>
          <w:tcPr>
            <w:tcW w:type="dxa" w:w="1600"/>
            <w:shd w:fill="F2F4F7"/>
            <w:tcMar>
              <w:top w:w="80" w:type="dxa"/>
              <w:start w:w="120" w:type="dxa"/>
              <w:bottom w:w="80" w:type="dxa"/>
              <w:end w:w="120" w:type="dxa"/>
            </w:tcMar>
            <w:vAlign w:val="center"/>
          </w:tcPr>
          <w:p>
            <w:pPr>
              <w:spacing w:after="0"/>
            </w:pPr>
            <w:r>
              <w:rPr>
                <w:rFonts w:ascii="Calibri" w:hAnsi="Calibri"/>
                <w:b/>
                <w:i w:val="0"/>
                <w:color w:val="1F4E79"/>
                <w:sz w:val="16"/>
              </w:rPr>
              <w:t>Match</w:t>
            </w:r>
          </w:p>
        </w:tc>
        <w:tc>
          <w:tcPr>
            <w:tcW w:type="dxa" w:w="1100"/>
            <w:shd w:fill="F2F4F7"/>
            <w:tcMar>
              <w:top w:w="80" w:type="dxa"/>
              <w:start w:w="120" w:type="dxa"/>
              <w:bottom w:w="80" w:type="dxa"/>
              <w:end w:w="120" w:type="dxa"/>
            </w:tcMar>
            <w:vAlign w:val="center"/>
          </w:tcPr>
          <w:p>
            <w:pPr>
              <w:spacing w:after="0"/>
            </w:pPr>
            <w:r>
              <w:rPr>
                <w:rFonts w:ascii="Calibri" w:hAnsi="Calibri"/>
                <w:b/>
                <w:i w:val="0"/>
                <w:color w:val="1F4E79"/>
                <w:sz w:val="16"/>
              </w:rPr>
              <w:t>Source</w:t>
            </w:r>
          </w:p>
        </w:tc>
        <w:tc>
          <w:tcPr>
            <w:tcW w:type="dxa" w:w="4760"/>
            <w:shd w:fill="F2F4F7"/>
            <w:tcMar>
              <w:top w:w="80" w:type="dxa"/>
              <w:start w:w="120" w:type="dxa"/>
              <w:bottom w:w="80" w:type="dxa"/>
              <w:end w:w="120" w:type="dxa"/>
            </w:tcMar>
            <w:vAlign w:val="center"/>
          </w:tcPr>
          <w:p>
            <w:pPr>
              <w:spacing w:after="0"/>
            </w:pPr>
            <w:r>
              <w:rPr>
                <w:rFonts w:ascii="Calibri" w:hAnsi="Calibri"/>
                <w:b/>
                <w:i w:val="0"/>
                <w:color w:val="1F4E79"/>
                <w:sz w:val="16"/>
              </w:rPr>
              <w:t>What is exposed</w:t>
            </w:r>
          </w:p>
        </w:tc>
        <w:tc>
          <w:tcPr>
            <w:tcW w:type="dxa" w:w="1000"/>
            <w:shd w:fill="F2F4F7"/>
            <w:tcMar>
              <w:top w:w="80" w:type="dxa"/>
              <w:start w:w="120" w:type="dxa"/>
              <w:bottom w:w="80" w:type="dxa"/>
              <w:end w:w="120" w:type="dxa"/>
            </w:tcMar>
            <w:vAlign w:val="center"/>
          </w:tcPr>
          <w:p>
            <w:pPr>
              <w:spacing w:after="0"/>
            </w:pPr>
            <w:r>
              <w:rPr>
                <w:rFonts w:ascii="Calibri" w:hAnsi="Calibri"/>
                <w:b/>
                <w:i w:val="0"/>
                <w:color w:val="1F4E79"/>
                <w:sz w:val="16"/>
              </w:rPr>
              <w:t>Conf.</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1, 7, 8, 20</w:t>
            </w:r>
          </w:p>
        </w:tc>
        <w:tc>
          <w:tcPr>
            <w:tcW w:type="dxa" w:w="1600"/>
            <w:tcMar>
              <w:top w:w="80" w:type="dxa"/>
              <w:start w:w="120" w:type="dxa"/>
              <w:bottom w:w="80" w:type="dxa"/>
              <w:end w:w="120" w:type="dxa"/>
            </w:tcMar>
            <w:vAlign w:val="top"/>
          </w:tcPr>
          <w:p>
            <w:pPr>
              <w:spacing w:after="0"/>
            </w:pPr>
            <w:r>
              <w:rPr>
                <w:rFonts w:ascii="Calibri" w:hAnsi="Calibri"/>
                <w:b w:val="0"/>
                <w:i w:val="0"/>
                <w:sz w:val="16"/>
              </w:rPr>
              <w:t>Exact current items</w:t>
            </w:r>
          </w:p>
        </w:tc>
        <w:tc>
          <w:tcPr>
            <w:tcW w:type="dxa" w:w="1100"/>
            <w:tcMar>
              <w:top w:w="80" w:type="dxa"/>
              <w:start w:w="120" w:type="dxa"/>
              <w:bottom w:w="80" w:type="dxa"/>
              <w:end w:w="120" w:type="dxa"/>
            </w:tcMar>
            <w:vAlign w:val="top"/>
          </w:tcPr>
          <w:p>
            <w:pPr>
              <w:spacing w:after="0"/>
            </w:pPr>
            <w:r/>
            <w:hyperlink r:id="rId11">
              <w:r>
                <w:rPr>
                  <w:color w:val="2E74B5"/>
                  <w:u w:val="single"/>
                  <w:sz w:val="18"/>
                </w:rPr>
                <w:t>U2</w:t>
              </w:r>
            </w:hyperlink>
            <w:r>
              <w:rPr>
                <w:rFonts w:ascii="Calibri" w:hAnsi="Calibri"/>
                <w:b w:val="0"/>
                <w:i w:val="0"/>
                <w:sz w:val="16"/>
              </w:rPr>
              <w:t xml:space="preserve">, </w:t>
            </w:r>
            <w:hyperlink r:id="rId12">
              <w:r>
                <w:rPr>
                  <w:color w:val="2E74B5"/>
                  <w:u w:val="single"/>
                  <w:sz w:val="18"/>
                </w:rPr>
                <w:t>U3</w:t>
              </w:r>
            </w:hyperlink>
            <w:r>
              <w:rPr>
                <w:rFonts w:ascii="Calibri" w:hAnsi="Calibri"/>
                <w:b w:val="0"/>
                <w:i w:val="0"/>
                <w:sz w:val="16"/>
              </w:rPr>
              <w:t xml:space="preserve">, </w:t>
            </w:r>
            <w:hyperlink r:id="rId13">
              <w:r>
                <w:rPr>
                  <w:color w:val="2E74B5"/>
                  <w:u w:val="single"/>
                  <w:sz w:val="18"/>
                </w:rPr>
                <w:t>F1</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Public constructions, classification or full derivations; item 20 includes an upper-bound proof.</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2, 4, 10, 11, 13, 19, 21–25, 29</w:t>
            </w:r>
          </w:p>
        </w:tc>
        <w:tc>
          <w:tcPr>
            <w:tcW w:type="dxa" w:w="1600"/>
            <w:tcMar>
              <w:top w:w="80" w:type="dxa"/>
              <w:start w:w="120" w:type="dxa"/>
              <w:bottom w:w="80" w:type="dxa"/>
              <w:end w:w="120" w:type="dxa"/>
            </w:tcMar>
            <w:vAlign w:val="top"/>
          </w:tcPr>
          <w:p>
            <w:pPr>
              <w:spacing w:after="0"/>
            </w:pPr>
            <w:r>
              <w:rPr>
                <w:rFonts w:ascii="Calibri" w:hAnsi="Calibri"/>
                <w:b w:val="0"/>
                <w:i w:val="0"/>
                <w:sz w:val="16"/>
              </w:rPr>
              <w:t>Exact Titan predecessors</w:t>
            </w:r>
          </w:p>
        </w:tc>
        <w:tc>
          <w:tcPr>
            <w:tcW w:type="dxa" w:w="1100"/>
            <w:tcMar>
              <w:top w:w="80" w:type="dxa"/>
              <w:start w:w="120" w:type="dxa"/>
              <w:bottom w:w="80" w:type="dxa"/>
              <w:end w:w="120" w:type="dxa"/>
            </w:tcMar>
            <w:vAlign w:val="top"/>
          </w:tcPr>
          <w:p>
            <w:pPr>
              <w:spacing w:after="0"/>
            </w:pPr>
            <w:r/>
            <w:hyperlink r:id="rId14">
              <w:r>
                <w:rPr>
                  <w:color w:val="2E74B5"/>
                  <w:u w:val="single"/>
                  <w:sz w:val="18"/>
                </w:rPr>
                <w:t>T1</w:t>
              </w:r>
            </w:hyperlink>
            <w:r>
              <w:rPr>
                <w:rFonts w:ascii="Calibri" w:hAnsi="Calibri"/>
                <w:b w:val="0"/>
                <w:i w:val="0"/>
                <w:sz w:val="16"/>
              </w:rPr>
              <w:t xml:space="preserve">, </w:t>
            </w:r>
            <w:hyperlink r:id="rId15">
              <w:r>
                <w:rPr>
                  <w:color w:val="2E74B5"/>
                  <w:u w:val="single"/>
                  <w:sz w:val="18"/>
                </w:rPr>
                <w:t>U1</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Explicit item mapping plus public answer list; several detailed derivations.</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12, 14, 18</w:t>
            </w:r>
          </w:p>
        </w:tc>
        <w:tc>
          <w:tcPr>
            <w:tcW w:type="dxa" w:w="1600"/>
            <w:tcMar>
              <w:top w:w="80" w:type="dxa"/>
              <w:start w:w="120" w:type="dxa"/>
              <w:bottom w:w="80" w:type="dxa"/>
              <w:end w:w="120" w:type="dxa"/>
            </w:tcMar>
            <w:vAlign w:val="top"/>
          </w:tcPr>
          <w:p>
            <w:pPr>
              <w:spacing w:after="0"/>
            </w:pPr>
            <w:r>
              <w:rPr>
                <w:rFonts w:ascii="Calibri" w:hAnsi="Calibri"/>
                <w:b w:val="0"/>
                <w:i w:val="0"/>
                <w:sz w:val="16"/>
              </w:rPr>
              <w:t>Exact item + decisive method</w:t>
            </w:r>
          </w:p>
        </w:tc>
        <w:tc>
          <w:tcPr>
            <w:tcW w:type="dxa" w:w="1100"/>
            <w:tcMar>
              <w:top w:w="80" w:type="dxa"/>
              <w:start w:w="120" w:type="dxa"/>
              <w:bottom w:w="80" w:type="dxa"/>
              <w:end w:w="120" w:type="dxa"/>
            </w:tcMar>
            <w:vAlign w:val="top"/>
          </w:tcPr>
          <w:p>
            <w:pPr>
              <w:spacing w:after="0"/>
            </w:pPr>
            <w:r/>
            <w:hyperlink r:id="rId16">
              <w:r>
                <w:rPr>
                  <w:color w:val="2E74B5"/>
                  <w:u w:val="single"/>
                  <w:sz w:val="18"/>
                </w:rPr>
                <w:t>B1</w:t>
              </w:r>
            </w:hyperlink>
            <w:r>
              <w:rPr>
                <w:rFonts w:ascii="Calibri" w:hAnsi="Calibri"/>
                <w:b w:val="0"/>
                <w:i w:val="0"/>
                <w:sz w:val="16"/>
              </w:rPr>
              <w:t xml:space="preserve">, </w:t>
            </w:r>
            <w:hyperlink r:id="rId17">
              <w:r>
                <w:rPr>
                  <w:color w:val="2E74B5"/>
                  <w:u w:val="single"/>
                  <w:sz w:val="18"/>
                </w:rPr>
                <w:t>R1</w:t>
              </w:r>
            </w:hyperlink>
            <w:r>
              <w:rPr>
                <w:rFonts w:ascii="Calibri" w:hAnsi="Calibri"/>
                <w:b w:val="0"/>
                <w:i w:val="0"/>
                <w:sz w:val="16"/>
              </w:rPr>
              <w:t xml:space="preserve">, </w:t>
            </w:r>
            <w:hyperlink r:id="rId18">
              <w:r>
                <w:rPr>
                  <w:color w:val="2E74B5"/>
                  <w:u w:val="single"/>
                  <w:sz w:val="18"/>
                </w:rPr>
                <w:t>R2</w:t>
              </w:r>
            </w:hyperlink>
            <w:r>
              <w:rPr>
                <w:rFonts w:ascii="Calibri" w:hAnsi="Calibri"/>
                <w:b w:val="0"/>
                <w:i w:val="0"/>
                <w:sz w:val="16"/>
              </w:rPr>
              <w:t xml:space="preserve">, </w:t>
            </w:r>
            <w:hyperlink r:id="rId19">
              <w:r>
                <w:rPr>
                  <w:color w:val="2E74B5"/>
                  <w:u w:val="single"/>
                  <w:sz w:val="18"/>
                </w:rPr>
                <w:t>M1</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Plane-region theorem, balanced ternary, and summation routes publicly identified.</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15</w:t>
            </w:r>
          </w:p>
        </w:tc>
        <w:tc>
          <w:tcPr>
            <w:tcW w:type="dxa" w:w="16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hyperlink r:id="rId20">
              <w:r>
                <w:rPr>
                  <w:color w:val="2E74B5"/>
                  <w:u w:val="single"/>
                  <w:sz w:val="18"/>
                </w:rPr>
                <w:t>F2</w:t>
              </w:r>
            </w:hyperlink>
            <w:r>
              <w:rPr>
                <w:rFonts w:ascii="Calibri" w:hAnsi="Calibri"/>
                <w:b w:val="0"/>
                <w:i w:val="0"/>
                <w:sz w:val="16"/>
              </w:rPr>
              <w:t xml:space="preserve">, </w:t>
            </w:r>
            <w:hyperlink r:id="rId21">
              <w:r>
                <w:rPr>
                  <w:color w:val="2E74B5"/>
                  <w:u w:val="single"/>
                  <w:sz w:val="18"/>
                </w:rPr>
                <w:t>C1</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Indexed displacement thread includes a proposed result.</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26</w:t>
            </w:r>
          </w:p>
        </w:tc>
        <w:tc>
          <w:tcPr>
            <w:tcW w:type="dxa" w:w="16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hyperlink r:id="rId22">
              <w:r>
                <w:rPr>
                  <w:color w:val="2E74B5"/>
                  <w:u w:val="single"/>
                  <w:sz w:val="18"/>
                </w:rPr>
                <w:t>W1</w:t>
              </w:r>
            </w:hyperlink>
            <w:r>
              <w:rPr>
                <w:rFonts w:ascii="Calibri" w:hAnsi="Calibri"/>
                <w:b w:val="0"/>
                <w:i w:val="0"/>
                <w:sz w:val="16"/>
              </w:rPr>
              <w:t xml:space="preserve">, </w:t>
            </w:r>
            <w:hyperlink r:id="rId23">
              <w:r>
                <w:rPr>
                  <w:color w:val="2E74B5"/>
                  <w:u w:val="single"/>
                  <w:sz w:val="18"/>
                </w:rPr>
                <w:t>G1</w:t>
              </w:r>
            </w:hyperlink>
            <w:r>
              <w:rPr>
                <w:rFonts w:ascii="Calibri" w:hAnsi="Calibri"/>
                <w:b w:val="0"/>
                <w:i w:val="0"/>
                <w:sz w:val="16"/>
              </w:rPr>
              <w:t xml:space="preserve">, </w:t>
            </w:r>
            <w:hyperlink r:id="rId24">
              <w:r>
                <w:rPr>
                  <w:color w:val="2E74B5"/>
                  <w:u w:val="single"/>
                  <w:sz w:val="18"/>
                </w:rPr>
                <w:t>H1</w:t>
              </w:r>
            </w:hyperlink>
            <w:r>
              <w:rPr>
                <w:rFonts w:ascii="Calibri" w:hAnsi="Calibri"/>
                <w:b w:val="0"/>
                <w:i w:val="0"/>
                <w:sz w:val="16"/>
              </w:rPr>
              <w:t xml:space="preserve">, </w:t>
            </w:r>
            <w:hyperlink r:id="rId25">
              <w:r>
                <w:rPr>
                  <w:color w:val="2E74B5"/>
                  <w:u w:val="single"/>
                  <w:sz w:val="18"/>
                </w:rPr>
                <w:t>P1</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Longstanding prompt exposure and detailed geometric attempts.</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31</w:t>
            </w:r>
          </w:p>
        </w:tc>
        <w:tc>
          <w:tcPr>
            <w:tcW w:type="dxa" w:w="1600"/>
            <w:tcMar>
              <w:top w:w="80" w:type="dxa"/>
              <w:start w:w="120" w:type="dxa"/>
              <w:bottom w:w="80" w:type="dxa"/>
              <w:end w:w="120" w:type="dxa"/>
            </w:tcMar>
            <w:vAlign w:val="top"/>
          </w:tcPr>
          <w:p>
            <w:pPr>
              <w:spacing w:after="0"/>
            </w:pPr>
            <w:r>
              <w:rPr>
                <w:rFonts w:ascii="Calibri" w:hAnsi="Calibri"/>
                <w:b w:val="0"/>
                <w:i w:val="0"/>
                <w:sz w:val="16"/>
              </w:rPr>
              <w:t>Exact current/predecessor</w:t>
            </w:r>
          </w:p>
        </w:tc>
        <w:tc>
          <w:tcPr>
            <w:tcW w:type="dxa" w:w="1100"/>
            <w:tcMar>
              <w:top w:w="80" w:type="dxa"/>
              <w:start w:w="120" w:type="dxa"/>
              <w:bottom w:w="80" w:type="dxa"/>
              <w:end w:w="120" w:type="dxa"/>
            </w:tcMar>
            <w:vAlign w:val="top"/>
          </w:tcPr>
          <w:p>
            <w:pPr>
              <w:spacing w:after="0"/>
            </w:pPr>
            <w:r/>
            <w:hyperlink r:id="rId14">
              <w:r>
                <w:rPr>
                  <w:color w:val="2E74B5"/>
                  <w:u w:val="single"/>
                  <w:sz w:val="18"/>
                </w:rPr>
                <w:t>T1</w:t>
              </w:r>
            </w:hyperlink>
            <w:r>
              <w:rPr>
                <w:rFonts w:ascii="Calibri" w:hAnsi="Calibri"/>
                <w:b w:val="0"/>
                <w:i w:val="0"/>
                <w:sz w:val="16"/>
              </w:rPr>
              <w:t xml:space="preserve">, </w:t>
            </w:r>
            <w:hyperlink r:id="rId15">
              <w:r>
                <w:rPr>
                  <w:color w:val="2E74B5"/>
                  <w:u w:val="single"/>
                  <w:sz w:val="18"/>
                </w:rPr>
                <w:t>U1</w:t>
              </w:r>
            </w:hyperlink>
            <w:r>
              <w:rPr>
                <w:rFonts w:ascii="Calibri" w:hAnsi="Calibri"/>
                <w:b w:val="0"/>
                <w:i w:val="0"/>
                <w:sz w:val="16"/>
              </w:rPr>
              <w:t xml:space="preserve">, </w:t>
            </w:r>
            <w:hyperlink r:id="rId26">
              <w:r>
                <w:rPr>
                  <w:color w:val="2E74B5"/>
                  <w:u w:val="single"/>
                  <w:sz w:val="18"/>
                </w:rPr>
                <w:t>M2</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Complete Bayesian derivations in 2005 and 2015.</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32, 36</w:t>
            </w:r>
          </w:p>
        </w:tc>
        <w:tc>
          <w:tcPr>
            <w:tcW w:type="dxa" w:w="1600"/>
            <w:tcMar>
              <w:top w:w="80" w:type="dxa"/>
              <w:start w:w="120" w:type="dxa"/>
              <w:bottom w:w="80" w:type="dxa"/>
              <w:end w:w="120" w:type="dxa"/>
            </w:tcMar>
            <w:vAlign w:val="top"/>
          </w:tcPr>
          <w:p>
            <w:pPr>
              <w:spacing w:after="0"/>
            </w:pPr>
            <w:r>
              <w:rPr>
                <w:rFonts w:ascii="Calibri" w:hAnsi="Calibri"/>
                <w:b w:val="0"/>
                <w:i w:val="0"/>
                <w:sz w:val="16"/>
              </w:rPr>
              <w:t>Exact images</w:t>
            </w:r>
          </w:p>
        </w:tc>
        <w:tc>
          <w:tcPr>
            <w:tcW w:type="dxa" w:w="1100"/>
            <w:tcMar>
              <w:top w:w="80" w:type="dxa"/>
              <w:start w:w="120" w:type="dxa"/>
              <w:bottom w:w="80" w:type="dxa"/>
              <w:end w:w="120" w:type="dxa"/>
            </w:tcMar>
            <w:vAlign w:val="top"/>
          </w:tcPr>
          <w:p>
            <w:pPr>
              <w:spacing w:after="0"/>
            </w:pPr>
            <w:r/>
            <w:hyperlink r:id="rId27">
              <w:r>
                <w:rPr>
                  <w:color w:val="2E74B5"/>
                  <w:u w:val="single"/>
                  <w:sz w:val="18"/>
                </w:rPr>
                <w:t>R3</w:t>
              </w:r>
            </w:hyperlink>
            <w:r>
              <w:rPr>
                <w:rFonts w:ascii="Calibri" w:hAnsi="Calibri"/>
                <w:b w:val="0"/>
                <w:i w:val="0"/>
                <w:sz w:val="16"/>
              </w:rPr>
              <w:t xml:space="preserve">, </w:t>
            </w:r>
            <w:hyperlink r:id="rId28">
              <w:r>
                <w:rPr>
                  <w:color w:val="2E74B5"/>
                  <w:u w:val="single"/>
                  <w:sz w:val="18"/>
                </w:rPr>
                <w:t>U4</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Transformation rule for 32; decisive moving-player hint for 36.</w:t>
            </w:r>
          </w:p>
        </w:tc>
        <w:tc>
          <w:tcPr>
            <w:tcW w:type="dxa" w:w="10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900"/>
            <w:tcMar>
              <w:top w:w="80" w:type="dxa"/>
              <w:start w:w="120" w:type="dxa"/>
              <w:bottom w:w="80" w:type="dxa"/>
              <w:end w:w="120" w:type="dxa"/>
            </w:tcMar>
            <w:vAlign w:val="top"/>
          </w:tcPr>
          <w:p>
            <w:pPr>
              <w:spacing w:after="0"/>
            </w:pPr>
            <w:r>
              <w:rPr>
                <w:rFonts w:ascii="Calibri" w:hAnsi="Calibri"/>
                <w:b w:val="0"/>
                <w:i w:val="0"/>
                <w:sz w:val="16"/>
              </w:rPr>
              <w:t>5, 6, 9, 30</w:t>
            </w:r>
          </w:p>
        </w:tc>
        <w:tc>
          <w:tcPr>
            <w:tcW w:type="dxa" w:w="1600"/>
            <w:tcMar>
              <w:top w:w="80" w:type="dxa"/>
              <w:start w:w="120" w:type="dxa"/>
              <w:bottom w:w="80" w:type="dxa"/>
              <w:end w:w="120" w:type="dxa"/>
            </w:tcMar>
            <w:vAlign w:val="top"/>
          </w:tcPr>
          <w:p>
            <w:pPr>
              <w:spacing w:after="0"/>
            </w:pPr>
            <w:r>
              <w:rPr>
                <w:rFonts w:ascii="Calibri" w:hAnsi="Calibri"/>
                <w:b w:val="0"/>
                <w:i w:val="0"/>
                <w:sz w:val="16"/>
              </w:rPr>
              <w:t>Partial/method</w:t>
            </w:r>
          </w:p>
        </w:tc>
        <w:tc>
          <w:tcPr>
            <w:tcW w:type="dxa" w:w="1100"/>
            <w:tcMar>
              <w:top w:w="80" w:type="dxa"/>
              <w:start w:w="120" w:type="dxa"/>
              <w:bottom w:w="80" w:type="dxa"/>
              <w:end w:w="120" w:type="dxa"/>
            </w:tcMar>
            <w:vAlign w:val="top"/>
          </w:tcPr>
          <w:p>
            <w:pPr>
              <w:spacing w:after="0"/>
            </w:pPr>
            <w:r/>
            <w:hyperlink r:id="rId17">
              <w:r>
                <w:rPr>
                  <w:color w:val="2E74B5"/>
                  <w:u w:val="single"/>
                  <w:sz w:val="18"/>
                </w:rPr>
                <w:t>R1</w:t>
              </w:r>
            </w:hyperlink>
            <w:r>
              <w:rPr>
                <w:rFonts w:ascii="Calibri" w:hAnsi="Calibri"/>
                <w:b w:val="0"/>
                <w:i w:val="0"/>
                <w:sz w:val="16"/>
              </w:rPr>
              <w:t xml:space="preserve">, </w:t>
            </w:r>
            <w:hyperlink r:id="rId18">
              <w:r>
                <w:rPr>
                  <w:color w:val="2E74B5"/>
                  <w:u w:val="single"/>
                  <w:sz w:val="18"/>
                </w:rPr>
                <w:t>R2</w:t>
              </w:r>
            </w:hyperlink>
            <w:r>
              <w:rPr>
                <w:rFonts w:ascii="Calibri" w:hAnsi="Calibri"/>
                <w:b w:val="0"/>
                <w:i w:val="0"/>
                <w:sz w:val="16"/>
              </w:rPr>
              <w:t xml:space="preserve">, </w:t>
            </w:r>
            <w:hyperlink r:id="rId12">
              <w:r>
                <w:rPr>
                  <w:color w:val="2E74B5"/>
                  <w:u w:val="single"/>
                  <w:sz w:val="18"/>
                </w:rPr>
                <w:t>U3</w:t>
              </w:r>
            </w:hyperlink>
          </w:p>
        </w:tc>
        <w:tc>
          <w:tcPr>
            <w:tcW w:type="dxa" w:w="4760"/>
            <w:tcMar>
              <w:top w:w="80" w:type="dxa"/>
              <w:start w:w="120" w:type="dxa"/>
              <w:bottom w:w="80" w:type="dxa"/>
              <w:end w:w="120" w:type="dxa"/>
            </w:tcMar>
            <w:vAlign w:val="top"/>
          </w:tcPr>
          <w:p>
            <w:pPr>
              <w:spacing w:after="0"/>
            </w:pPr>
            <w:r>
              <w:rPr>
                <w:rFonts w:ascii="Calibri" w:hAnsi="Calibri"/>
                <w:b w:val="0"/>
                <w:i w:val="0"/>
                <w:sz w:val="16"/>
              </w:rPr>
              <w:t>Answer-image labels, candidate drawing, or item-linked theorem route.</w:t>
            </w:r>
          </w:p>
        </w:tc>
        <w:tc>
          <w:tcPr>
            <w:tcW w:type="dxa" w:w="1000"/>
            <w:tcMar>
              <w:top w:w="80" w:type="dxa"/>
              <w:start w:w="120" w:type="dxa"/>
              <w:bottom w:w="80" w:type="dxa"/>
              <w:end w:w="120" w:type="dxa"/>
            </w:tcMar>
            <w:vAlign w:val="top"/>
            <w:shd w:fill="FFF2CC"/>
          </w:tcPr>
          <w:p>
            <w:pPr>
              <w:spacing w:after="0"/>
            </w:pPr>
            <w:r>
              <w:rPr>
                <w:rFonts w:ascii="Calibri" w:hAnsi="Calibri"/>
                <w:b w:val="0"/>
                <w:i w:val="0"/>
                <w:sz w:val="16"/>
              </w:rPr>
              <w:t>Medium</w:t>
            </w:r>
          </w:p>
        </w:tc>
      </w:tr>
    </w:tbl>
    <w:p>
      <w:pPr>
        <w:pStyle w:val="Heading2"/>
      </w:pPr>
      <w:r>
        <w:t>Assessment for a prior-exposure review</w:t>
      </w:r>
    </w:p>
    <w:p>
      <w:r>
        <w:rPr>
          <w:rFonts w:ascii="Calibri" w:hAnsi="Calibri"/>
          <w:b/>
          <w:i w:val="0"/>
          <w:color w:val="1F4E79"/>
          <w:sz w:val="19"/>
        </w:rPr>
        <w:t xml:space="preserve">The evidence supports opportunity, not actual access. </w:t>
      </w:r>
      <w:r>
        <w:rPr>
          <w:rFonts w:ascii="Calibri" w:hAnsi="Calibri"/>
          <w:b w:val="0"/>
          <w:i w:val="0"/>
          <w:sz w:val="19"/>
        </w:rPr>
        <w:t>A test-taker’s exposure should be evaluated item by item and chronologically: whether a source predated the attempt, whether it was readily discoverable, whether it contained a verified answer or only a method/candidate, and whether the submitted work shows source-specific phrasing or an independently reproducible derivation. The 2005 Titan-answer channel is especially material because it covers many exact predecessors in one location.</w:t>
      </w:r>
    </w:p>
    <w:p>
      <w:pPr>
        <w:pStyle w:val="Heading2"/>
      </w:pPr>
      <w:r>
        <w:t>Recommended handling</w:t>
      </w:r>
    </w:p>
    <w:p>
      <w:pPr>
        <w:pStyle w:val="ListBullet"/>
        <w:spacing w:after="50"/>
        <w:ind w:left="288" w:hanging="202"/>
      </w:pPr>
      <w:r>
        <w:rPr>
          <w:rFonts w:ascii="Calibri" w:hAnsi="Calibri"/>
          <w:b w:val="0"/>
          <w:i w:val="0"/>
          <w:sz w:val="17"/>
        </w:rPr>
        <w:t>Preserve dated copies; compare only sources predating the attempt; posts and image hosts can change.</w:t>
      </w:r>
    </w:p>
    <w:p>
      <w:pPr>
        <w:pStyle w:val="ListBullet"/>
        <w:spacing w:after="50"/>
        <w:ind w:left="288" w:hanging="202"/>
      </w:pPr>
      <w:r>
        <w:rPr>
          <w:rFonts w:ascii="Calibri" w:hAnsi="Calibri"/>
          <w:b w:val="0"/>
          <w:i w:val="0"/>
          <w:sz w:val="17"/>
        </w:rPr>
        <w:t>Request derivations on high-confidence items and distinguish source-specific steps from standard textbook methods.</w:t>
      </w:r>
    </w:p>
    <w:p>
      <w:pPr>
        <w:pStyle w:val="ListBullet"/>
        <w:spacing w:after="50"/>
        <w:ind w:left="288" w:hanging="202"/>
      </w:pPr>
      <w:r>
        <w:rPr>
          <w:rFonts w:ascii="Calibri" w:hAnsi="Calibri"/>
          <w:b w:val="0"/>
          <w:i w:val="0"/>
          <w:sz w:val="17"/>
        </w:rPr>
        <w:t>Treat forum totals as exposure evidence, not an official key; items 13 and 26 contain competing/disputed answers.</w:t>
      </w:r>
    </w:p>
    <w:tbl>
      <w:tblPr>
        <w:tblW w:type="dxa" w:w="9360"/>
        <w:jc w:val="center"/>
        <w:tblLayout w:type="fixed"/>
        <w:tblLook w:firstColumn="1" w:firstRow="1" w:lastColumn="0" w:lastRow="0" w:noHBand="0" w:noVBand="1" w:val="04A0"/>
      </w:tblPr>
      <w:tblGrid>
        <w:gridCol w:w="9936"/>
      </w:tblGrid>
      <w:tr>
        <w:tc>
          <w:tcPr>
            <w:tcW w:type="dxa" w:w="9936"/>
            <w:shd w:fill="EAF2F8"/>
            <w:tcMar>
              <w:top w:w="110" w:type="dxa"/>
              <w:start w:w="150" w:type="dxa"/>
              <w:bottom w:w="110" w:type="dxa"/>
              <w:end w:w="150" w:type="dxa"/>
            </w:tcMar>
          </w:tcPr>
          <w:p>
            <w:pPr>
              <w:spacing w:after="40"/>
            </w:pPr>
            <w:r>
              <w:rPr>
                <w:rFonts w:ascii="Calibri" w:hAnsi="Calibri"/>
                <w:b/>
                <w:i w:val="0"/>
                <w:color w:val="1F4E79"/>
                <w:sz w:val="19"/>
              </w:rPr>
              <w:t xml:space="preserve">Bottom line.  </w:t>
            </w:r>
            <w:r>
              <w:rPr>
                <w:rFonts w:ascii="Calibri" w:hAnsi="Calibri"/>
                <w:b w:val="0"/>
                <w:i w:val="0"/>
                <w:sz w:val="19"/>
              </w:rPr>
              <w:t>There is a substantial, dated public record from 2001 onward—and a concentrated Titan answer thread from 2005—that could materially assist performance on many current Power Test items. That warrants administrator review, but no public-source audit alone can establish that a particular individual used the material.</w:t>
            </w:r>
          </w:p>
        </w:tc>
      </w:tr>
    </w:tbl>
    <w:p>
      <w:pPr>
        <w:spacing w:after="0"/>
      </w:pPr>
    </w:p>
    <w:p>
      <w:pPr>
        <w:sectPr>
          <w:headerReference w:type="default" r:id="rId9"/>
          <w:footerReference w:type="default" r:id="rId10"/>
          <w:pgSz w:w="12240" w:h="15840"/>
          <w:pgMar w:top="1037" w:right="1152" w:bottom="936" w:left="1152" w:header="360" w:footer="432" w:gutter="0"/>
          <w:cols w:space="720"/>
          <w:docGrid w:linePitch="360"/>
        </w:sectPr>
      </w:pPr>
    </w:p>
    <w:p>
      <w:pPr>
        <w:pStyle w:val="Heading1"/>
      </w:pPr>
      <w:r>
        <w:t>Appendix A — Full 36-item exposure matrix</w:t>
      </w:r>
    </w:p>
    <w:p>
      <w:pPr>
        <w:spacing w:after="100"/>
      </w:pPr>
      <w:r>
        <w:t>Short quotes identify items without reproducing the full test. Source codes link to public pages. Numerical answers are intentionally omitted.</w:t>
      </w:r>
    </w:p>
    <w:tbl>
      <w:tblPr>
        <w:tblStyle w:val="TableGrid"/>
        <w:tblW w:type="dxa" w:w="13700"/>
        <w:jc w:val="center"/>
        <w:tblLayout w:type="fixed"/>
        <w:tblLook w:firstColumn="1" w:firstRow="1" w:lastColumn="0" w:lastRow="0" w:noHBand="0" w:noVBand="1" w:val="04A0"/>
      </w:tblPr>
      <w:tblGrid>
        <w:gridCol w:w="2342"/>
        <w:gridCol w:w="2342"/>
        <w:gridCol w:w="2342"/>
        <w:gridCol w:w="2342"/>
        <w:gridCol w:w="2342"/>
        <w:gridCol w:w="2342"/>
      </w:tblGrid>
      <w:tr>
        <w:trPr>
          <w:tblHeader w:val="true"/>
          <w:cantSplit w:val="true"/>
        </w:trPr>
        <w:tc>
          <w:tcPr>
            <w:tcW w:type="dxa" w:w="500"/>
            <w:shd w:fill="F2F4F7"/>
            <w:tcMar>
              <w:top w:w="80" w:type="dxa"/>
              <w:start w:w="120" w:type="dxa"/>
              <w:bottom w:w="80" w:type="dxa"/>
              <w:end w:w="120" w:type="dxa"/>
            </w:tcMar>
            <w:vAlign w:val="center"/>
          </w:tcPr>
          <w:p>
            <w:pPr>
              <w:spacing w:after="0"/>
            </w:pPr>
            <w:r>
              <w:rPr>
                <w:rFonts w:ascii="Calibri" w:hAnsi="Calibri"/>
                <w:b/>
                <w:i w:val="0"/>
                <w:color w:val="1F4E79"/>
                <w:sz w:val="16"/>
              </w:rPr>
              <w:t>No.</w:t>
            </w:r>
          </w:p>
        </w:tc>
        <w:tc>
          <w:tcPr>
            <w:tcW w:type="dxa" w:w="2600"/>
            <w:shd w:fill="F2F4F7"/>
            <w:tcMar>
              <w:top w:w="80" w:type="dxa"/>
              <w:start w:w="120" w:type="dxa"/>
              <w:bottom w:w="80" w:type="dxa"/>
              <w:end w:w="120" w:type="dxa"/>
            </w:tcMar>
            <w:vAlign w:val="center"/>
          </w:tcPr>
          <w:p>
            <w:pPr>
              <w:spacing w:after="0"/>
            </w:pPr>
            <w:r>
              <w:rPr>
                <w:rFonts w:ascii="Calibri" w:hAnsi="Calibri"/>
                <w:b/>
                <w:i w:val="0"/>
                <w:color w:val="1F4E79"/>
                <w:sz w:val="16"/>
              </w:rPr>
              <w:t>First line / short quote</w:t>
            </w:r>
          </w:p>
        </w:tc>
        <w:tc>
          <w:tcPr>
            <w:tcW w:type="dxa" w:w="1800"/>
            <w:shd w:fill="F2F4F7"/>
            <w:tcMar>
              <w:top w:w="80" w:type="dxa"/>
              <w:start w:w="120" w:type="dxa"/>
              <w:bottom w:w="80" w:type="dxa"/>
              <w:end w:w="120" w:type="dxa"/>
            </w:tcMar>
            <w:vAlign w:val="center"/>
          </w:tcPr>
          <w:p>
            <w:pPr>
              <w:spacing w:after="0"/>
            </w:pPr>
            <w:r>
              <w:rPr>
                <w:rFonts w:ascii="Calibri" w:hAnsi="Calibri"/>
                <w:b/>
                <w:i w:val="0"/>
                <w:color w:val="1F4E79"/>
                <w:sz w:val="16"/>
              </w:rPr>
              <w:t>Match type</w:t>
            </w:r>
          </w:p>
        </w:tc>
        <w:tc>
          <w:tcPr>
            <w:tcW w:type="dxa" w:w="1100"/>
            <w:shd w:fill="F2F4F7"/>
            <w:tcMar>
              <w:top w:w="80" w:type="dxa"/>
              <w:start w:w="120" w:type="dxa"/>
              <w:bottom w:w="80" w:type="dxa"/>
              <w:end w:w="120" w:type="dxa"/>
            </w:tcMar>
            <w:vAlign w:val="center"/>
          </w:tcPr>
          <w:p>
            <w:pPr>
              <w:spacing w:after="0"/>
            </w:pPr>
            <w:r>
              <w:rPr>
                <w:rFonts w:ascii="Calibri" w:hAnsi="Calibri"/>
                <w:b/>
                <w:i w:val="0"/>
                <w:color w:val="1F4E79"/>
                <w:sz w:val="16"/>
              </w:rPr>
              <w:t>Source</w:t>
            </w:r>
          </w:p>
        </w:tc>
        <w:tc>
          <w:tcPr>
            <w:tcW w:type="dxa" w:w="6600"/>
            <w:shd w:fill="F2F4F7"/>
            <w:tcMar>
              <w:top w:w="80" w:type="dxa"/>
              <w:start w:w="120" w:type="dxa"/>
              <w:bottom w:w="80" w:type="dxa"/>
              <w:end w:w="120" w:type="dxa"/>
            </w:tcMar>
            <w:vAlign w:val="center"/>
          </w:tcPr>
          <w:p>
            <w:pPr>
              <w:spacing w:after="0"/>
            </w:pPr>
            <w:r>
              <w:rPr>
                <w:rFonts w:ascii="Calibri" w:hAnsi="Calibri"/>
                <w:b/>
                <w:i w:val="0"/>
                <w:color w:val="1F4E79"/>
                <w:sz w:val="16"/>
              </w:rPr>
              <w:t>Exposure evidence / assessment</w:t>
            </w:r>
          </w:p>
        </w:tc>
        <w:tc>
          <w:tcPr>
            <w:tcW w:type="dxa" w:w="1100"/>
            <w:shd w:fill="F2F4F7"/>
            <w:tcMar>
              <w:top w:w="80" w:type="dxa"/>
              <w:start w:w="120" w:type="dxa"/>
              <w:bottom w:w="80" w:type="dxa"/>
              <w:end w:w="120" w:type="dxa"/>
            </w:tcMar>
            <w:vAlign w:val="center"/>
          </w:tcPr>
          <w:p>
            <w:pPr>
              <w:spacing w:after="0"/>
            </w:pPr>
            <w:r>
              <w:rPr>
                <w:rFonts w:ascii="Calibri" w:hAnsi="Calibri"/>
                <w:b/>
                <w:i w:val="0"/>
                <w:color w:val="1F4E79"/>
                <w:sz w:val="16"/>
              </w:rPr>
              <w:t>Conf.</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w:t>
            </w:r>
          </w:p>
        </w:tc>
        <w:tc>
          <w:tcPr>
            <w:tcW w:type="dxa" w:w="2600"/>
            <w:tcMar>
              <w:top w:w="80" w:type="dxa"/>
              <w:start w:w="120" w:type="dxa"/>
              <w:bottom w:w="80" w:type="dxa"/>
              <w:end w:w="120" w:type="dxa"/>
            </w:tcMar>
            <w:vAlign w:val="top"/>
          </w:tcPr>
          <w:p>
            <w:pPr>
              <w:spacing w:after="0"/>
            </w:pPr>
            <w:r>
              <w:rPr>
                <w:rFonts w:ascii="Calibri" w:hAnsi="Calibri"/>
                <w:b w:val="0"/>
                <w:i w:val="0"/>
                <w:sz w:val="16"/>
              </w:rPr>
              <w:t>“minimum number of square sheets…” (pattern 1)</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12">
              <w:r>
                <w:rPr>
                  <w:color w:val="2E74B5"/>
                  <w:u w:val="single"/>
                  <w:sz w:val="18"/>
                </w:rPr>
                <w:t>U3</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Construction and result discussed in the 2009 rec.puzzles thread.</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w:t>
            </w:r>
          </w:p>
        </w:tc>
        <w:tc>
          <w:tcPr>
            <w:tcW w:type="dxa" w:w="2600"/>
            <w:tcMar>
              <w:top w:w="80" w:type="dxa"/>
              <w:start w:w="120" w:type="dxa"/>
              <w:bottom w:w="80" w:type="dxa"/>
              <w:end w:w="120" w:type="dxa"/>
            </w:tcMar>
            <w:vAlign w:val="top"/>
          </w:tcPr>
          <w:p>
            <w:pPr>
              <w:spacing w:after="0"/>
            </w:pPr>
            <w:r>
              <w:rPr>
                <w:rFonts w:ascii="Calibri" w:hAnsi="Calibri"/>
                <w:b w:val="0"/>
                <w:i w:val="0"/>
                <w:sz w:val="16"/>
              </w:rPr>
              <w:t>“As in the foregoing problem…” (pattern 2)</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25 is explicitly mapped to Power 2; public answer thread supplies a construction/result.</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w:t>
            </w:r>
          </w:p>
        </w:tc>
        <w:tc>
          <w:tcPr>
            <w:tcW w:type="dxa" w:w="2600"/>
            <w:tcMar>
              <w:top w:w="80" w:type="dxa"/>
              <w:start w:w="120" w:type="dxa"/>
              <w:bottom w:w="80" w:type="dxa"/>
              <w:end w:w="120" w:type="dxa"/>
            </w:tcMar>
            <w:vAlign w:val="top"/>
          </w:tcPr>
          <w:p>
            <w:pPr>
              <w:spacing w:after="0"/>
            </w:pPr>
            <w:r>
              <w:rPr>
                <w:rFonts w:ascii="Calibri" w:hAnsi="Calibri"/>
                <w:b w:val="0"/>
                <w:i w:val="0"/>
                <w:sz w:val="16"/>
              </w:rPr>
              <w:t>“three intersecting rectangles…”</w:t>
            </w:r>
          </w:p>
        </w:tc>
        <w:tc>
          <w:tcPr>
            <w:tcW w:type="dxa" w:w="1800"/>
            <w:tcMar>
              <w:top w:w="80" w:type="dxa"/>
              <w:start w:w="120" w:type="dxa"/>
              <w:bottom w:w="80" w:type="dxa"/>
              <w:end w:w="120" w:type="dxa"/>
            </w:tcMar>
            <w:vAlign w:val="top"/>
          </w:tcPr>
          <w:p>
            <w:pPr>
              <w:spacing w:after="0"/>
            </w:pPr>
            <w:r>
              <w:rPr>
                <w:rFonts w:ascii="Calibri" w:hAnsi="Calibri"/>
                <w:b w:val="0"/>
                <w:i w:val="0"/>
                <w:sz w:val="16"/>
              </w:rPr>
              <w:t>No substantive match found</w:t>
            </w:r>
          </w:p>
        </w:tc>
        <w:tc>
          <w:tcPr>
            <w:tcW w:type="dxa" w:w="1100"/>
            <w:tcMar>
              <w:top w:w="80" w:type="dxa"/>
              <w:start w:w="120" w:type="dxa"/>
              <w:bottom w:w="80" w:type="dxa"/>
              <w:end w:w="120" w:type="dxa"/>
            </w:tcMar>
            <w:vAlign w:val="top"/>
          </w:tcPr>
          <w:p>
            <w:pPr>
              <w:spacing w:after="0"/>
            </w:pPr>
            <w:r>
              <w:rPr>
                <w:sz w:val="15"/>
              </w:rPr>
            </w:r>
            <w:hyperlink r:id="rId29">
              <w:r>
                <w:rPr>
                  <w:color w:val="2E74B5"/>
                  <w:u w:val="single"/>
                  <w:sz w:val="18"/>
                </w:rPr>
                <w:t>O1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Only official/reposted prompt exposure located.</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4</w:t>
            </w:r>
          </w:p>
        </w:tc>
        <w:tc>
          <w:tcPr>
            <w:tcW w:type="dxa" w:w="2600"/>
            <w:tcMar>
              <w:top w:w="80" w:type="dxa"/>
              <w:start w:w="120" w:type="dxa"/>
              <w:bottom w:w="80" w:type="dxa"/>
              <w:end w:w="120" w:type="dxa"/>
            </w:tcMar>
            <w:vAlign w:val="top"/>
          </w:tcPr>
          <w:p>
            <w:pPr>
              <w:spacing w:after="0"/>
            </w:pPr>
            <w:r>
              <w:rPr>
                <w:rFonts w:ascii="Calibri" w:hAnsi="Calibri"/>
                <w:b w:val="0"/>
                <w:i w:val="0"/>
                <w:sz w:val="16"/>
              </w:rPr>
              <w:t>“three circles plus two triangles”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34 is explicitly mapped to Power 4; the answer thread contains a worked construction/result.</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5</w:t>
            </w:r>
          </w:p>
        </w:tc>
        <w:tc>
          <w:tcPr>
            <w:tcW w:type="dxa" w:w="2600"/>
            <w:tcMar>
              <w:top w:w="80" w:type="dxa"/>
              <w:start w:w="120" w:type="dxa"/>
              <w:bottom w:w="80" w:type="dxa"/>
              <w:end w:w="120" w:type="dxa"/>
            </w:tcMar>
            <w:vAlign w:val="top"/>
          </w:tcPr>
          <w:p>
            <w:pPr>
              <w:spacing w:after="0"/>
            </w:pPr>
            <w:r>
              <w:rPr>
                <w:rFonts w:ascii="Calibri" w:hAnsi="Calibri"/>
                <w:b w:val="0"/>
                <w:i w:val="0"/>
                <w:sz w:val="16"/>
              </w:rPr>
              <w:t>“lightbulbs… two… dodecahedron”</w:t>
            </w:r>
          </w:p>
        </w:tc>
        <w:tc>
          <w:tcPr>
            <w:tcW w:type="dxa" w:w="1800"/>
            <w:tcMar>
              <w:top w:w="80" w:type="dxa"/>
              <w:start w:w="120" w:type="dxa"/>
              <w:bottom w:w="80" w:type="dxa"/>
              <w:end w:w="120" w:type="dxa"/>
            </w:tcMar>
            <w:vAlign w:val="top"/>
          </w:tcPr>
          <w:p>
            <w:pPr>
              <w:spacing w:after="0"/>
            </w:pPr>
            <w:r>
              <w:rPr>
                <w:rFonts w:ascii="Calibri" w:hAnsi="Calibri"/>
                <w:b w:val="0"/>
                <w:i w:val="0"/>
                <w:sz w:val="16"/>
              </w:rPr>
              <w:t>Exact item link; partial</w:t>
            </w:r>
          </w:p>
        </w:tc>
        <w:tc>
          <w:tcPr>
            <w:tcW w:type="dxa" w:w="1100"/>
            <w:tcMar>
              <w:top w:w="80" w:type="dxa"/>
              <w:start w:w="120" w:type="dxa"/>
              <w:bottom w:w="80" w:type="dxa"/>
              <w:end w:w="120" w:type="dxa"/>
            </w:tcMar>
            <w:vAlign w:val="top"/>
          </w:tcPr>
          <w:p>
            <w:pPr>
              <w:spacing w:after="0"/>
            </w:pPr>
            <w:r>
              <w:rPr>
                <w:sz w:val="15"/>
              </w:rPr>
            </w:r>
            <w:hyperlink r:id="rId17">
              <w:r>
                <w:rPr>
                  <w:color w:val="2E74B5"/>
                  <w:u w:val="single"/>
                  <w:sz w:val="18"/>
                </w:rPr>
                <w:t>R1</w:t>
              </w:r>
            </w:hyperlink>
            <w:r>
              <w:rPr>
                <w:rFonts w:ascii="Calibri" w:hAnsi="Calibri"/>
                <w:b w:val="0"/>
                <w:i w:val="0"/>
                <w:sz w:val="15"/>
              </w:rPr>
              <w:t xml:space="preserve">, </w:t>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A historical image link is labelled “Answer5”; a separate discussion identifies the Burnside/Pólya route. Image not inspected.</w:t>
            </w:r>
          </w:p>
        </w:tc>
        <w:tc>
          <w:tcPr>
            <w:tcW w:type="dxa" w:w="1100"/>
            <w:tcMar>
              <w:top w:w="80" w:type="dxa"/>
              <w:start w:w="120" w:type="dxa"/>
              <w:bottom w:w="80" w:type="dxa"/>
              <w:end w:w="120" w:type="dxa"/>
            </w:tcMar>
            <w:vAlign w:val="top"/>
            <w:shd w:fill="FFF2CC"/>
          </w:tcPr>
          <w:p>
            <w:pPr>
              <w:spacing w:after="0"/>
            </w:pPr>
            <w:r>
              <w:rPr>
                <w:rFonts w:ascii="Calibri" w:hAnsi="Calibri"/>
                <w:b w:val="0"/>
                <w:i w:val="0"/>
                <w:sz w:val="16"/>
              </w:rPr>
              <w:t>Medium</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6</w:t>
            </w:r>
          </w:p>
        </w:tc>
        <w:tc>
          <w:tcPr>
            <w:tcW w:type="dxa" w:w="2600"/>
            <w:tcMar>
              <w:top w:w="80" w:type="dxa"/>
              <w:start w:w="120" w:type="dxa"/>
              <w:bottom w:w="80" w:type="dxa"/>
              <w:end w:w="120" w:type="dxa"/>
            </w:tcMar>
            <w:vAlign w:val="top"/>
          </w:tcPr>
          <w:p>
            <w:pPr>
              <w:spacing w:after="0"/>
            </w:pPr>
            <w:r>
              <w:rPr>
                <w:rFonts w:ascii="Calibri" w:hAnsi="Calibri"/>
                <w:b w:val="0"/>
                <w:i w:val="0"/>
                <w:sz w:val="16"/>
              </w:rPr>
              <w:t>“three… vertices… icosahedron”</w:t>
            </w:r>
          </w:p>
        </w:tc>
        <w:tc>
          <w:tcPr>
            <w:tcW w:type="dxa" w:w="1800"/>
            <w:tcMar>
              <w:top w:w="80" w:type="dxa"/>
              <w:start w:w="120" w:type="dxa"/>
              <w:bottom w:w="80" w:type="dxa"/>
              <w:end w:w="120" w:type="dxa"/>
            </w:tcMar>
            <w:vAlign w:val="top"/>
          </w:tcPr>
          <w:p>
            <w:pPr>
              <w:spacing w:after="0"/>
            </w:pPr>
            <w:r>
              <w:rPr>
                <w:rFonts w:ascii="Calibri" w:hAnsi="Calibri"/>
                <w:b w:val="0"/>
                <w:i w:val="0"/>
                <w:sz w:val="16"/>
              </w:rPr>
              <w:t>Common-method overlap</w:t>
            </w:r>
          </w:p>
        </w:tc>
        <w:tc>
          <w:tcPr>
            <w:tcW w:type="dxa" w:w="1100"/>
            <w:tcMar>
              <w:top w:w="80" w:type="dxa"/>
              <w:start w:w="120" w:type="dxa"/>
              <w:bottom w:w="80" w:type="dxa"/>
              <w:end w:w="120" w:type="dxa"/>
            </w:tcMar>
            <w:vAlign w:val="top"/>
          </w:tcPr>
          <w:p>
            <w:pPr>
              <w:spacing w:after="0"/>
            </w:pPr>
            <w:r>
              <w:rPr>
                <w:sz w:val="15"/>
              </w:rPr>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Item grouped with Burnside/Pólya orbit-counting problems; no item-specific result verified.</w:t>
            </w:r>
          </w:p>
        </w:tc>
        <w:tc>
          <w:tcPr>
            <w:tcW w:type="dxa" w:w="1100"/>
            <w:tcMar>
              <w:top w:w="80" w:type="dxa"/>
              <w:start w:w="120" w:type="dxa"/>
              <w:bottom w:w="80" w:type="dxa"/>
              <w:end w:w="120" w:type="dxa"/>
            </w:tcMar>
            <w:vAlign w:val="top"/>
            <w:shd w:fill="FFF2CC"/>
          </w:tcPr>
          <w:p>
            <w:pPr>
              <w:spacing w:after="0"/>
            </w:pPr>
            <w:r>
              <w:rPr>
                <w:rFonts w:ascii="Calibri" w:hAnsi="Calibri"/>
                <w:b w:val="0"/>
                <w:i w:val="0"/>
                <w:sz w:val="16"/>
              </w:rPr>
              <w:t>Medium</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7</w:t>
            </w:r>
          </w:p>
        </w:tc>
        <w:tc>
          <w:tcPr>
            <w:tcW w:type="dxa" w:w="2600"/>
            <w:tcMar>
              <w:top w:w="80" w:type="dxa"/>
              <w:start w:w="120" w:type="dxa"/>
              <w:bottom w:w="80" w:type="dxa"/>
              <w:end w:w="120" w:type="dxa"/>
            </w:tcMar>
            <w:vAlign w:val="top"/>
          </w:tcPr>
          <w:p>
            <w:pPr>
              <w:spacing w:after="0"/>
            </w:pPr>
            <w:r>
              <w:rPr>
                <w:rFonts w:ascii="Calibri" w:hAnsi="Calibri"/>
                <w:b w:val="0"/>
                <w:i w:val="0"/>
                <w:sz w:val="16"/>
              </w:rPr>
              <w:t>“octahedron… painted white or black”</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current/predecessor</w:t>
            </w:r>
          </w:p>
        </w:tc>
        <w:tc>
          <w:tcPr>
            <w:tcW w:type="dxa" w:w="1100"/>
            <w:tcMar>
              <w:top w:w="80" w:type="dxa"/>
              <w:start w:w="120" w:type="dxa"/>
              <w:bottom w:w="80" w:type="dxa"/>
              <w:end w:w="120" w:type="dxa"/>
            </w:tcMar>
            <w:vAlign w:val="top"/>
          </w:tcPr>
          <w:p>
            <w:pPr>
              <w:spacing w:after="0"/>
            </w:pPr>
            <w:r>
              <w:rPr>
                <w:sz w:val="15"/>
              </w:rPr>
            </w:r>
            <w:hyperlink r:id="rId13">
              <w:r>
                <w:rPr>
                  <w:color w:val="2E74B5"/>
                  <w:u w:val="single"/>
                  <w:sz w:val="18"/>
                </w:rPr>
                <w:t>F1</w:t>
              </w:r>
            </w:hyperlink>
            <w:r>
              <w:rPr>
                <w:rFonts w:ascii="Calibri" w:hAnsi="Calibri"/>
                <w:b w:val="0"/>
                <w:i w:val="0"/>
                <w:sz w:val="15"/>
              </w:rPr>
              <w:t xml:space="preserve">, </w:t>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Exact prompt plus public candidate result, classification and symmetry discussion; Titan answer list corroborates exposure.</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8</w:t>
            </w:r>
          </w:p>
        </w:tc>
        <w:tc>
          <w:tcPr>
            <w:tcW w:type="dxa" w:w="2600"/>
            <w:tcMar>
              <w:top w:w="80" w:type="dxa"/>
              <w:start w:w="120" w:type="dxa"/>
              <w:bottom w:w="80" w:type="dxa"/>
              <w:end w:w="120" w:type="dxa"/>
            </w:tcMar>
            <w:vAlign w:val="top"/>
          </w:tcPr>
          <w:p>
            <w:pPr>
              <w:spacing w:after="0"/>
            </w:pPr>
            <w:r>
              <w:rPr>
                <w:rFonts w:ascii="Calibri" w:hAnsi="Calibri"/>
                <w:b w:val="0"/>
                <w:i w:val="0"/>
                <w:sz w:val="16"/>
              </w:rPr>
              <w:t>“cube… red or blue or yellow”</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11">
              <w:r>
                <w:rPr>
                  <w:color w:val="2E74B5"/>
                  <w:u w:val="single"/>
                  <w:sz w:val="18"/>
                </w:rPr>
                <w:t>U2</w:t>
              </w:r>
            </w:hyperlink>
            <w:r>
              <w:rPr>
                <w:rFonts w:ascii="Calibri" w:hAnsi="Calibri"/>
                <w:b w:val="0"/>
                <w:i w:val="0"/>
                <w:sz w:val="15"/>
              </w:rPr>
              <w:t xml:space="preserve">, </w:t>
            </w:r>
            <w:hyperlink r:id="rId12">
              <w:r>
                <w:rPr>
                  <w:color w:val="2E74B5"/>
                  <w:u w:val="single"/>
                  <w:sz w:val="18"/>
                </w:rPr>
                <w:t>U3</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2001 thread explicitly identifies the Power item and gives full case/group-action derivations; discussed again in 2009.</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9</w:t>
            </w:r>
          </w:p>
        </w:tc>
        <w:tc>
          <w:tcPr>
            <w:tcW w:type="dxa" w:w="2600"/>
            <w:tcMar>
              <w:top w:w="80" w:type="dxa"/>
              <w:start w:w="120" w:type="dxa"/>
              <w:bottom w:w="80" w:type="dxa"/>
              <w:end w:w="120" w:type="dxa"/>
            </w:tcMar>
            <w:vAlign w:val="top"/>
          </w:tcPr>
          <w:p>
            <w:pPr>
              <w:spacing w:after="0"/>
            </w:pPr>
            <w:r>
              <w:rPr>
                <w:rFonts w:ascii="Calibri" w:hAnsi="Calibri"/>
                <w:b w:val="0"/>
                <w:i w:val="0"/>
                <w:sz w:val="16"/>
              </w:rPr>
              <w:t>“five external views… draw the sixth”</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 candidate</w:t>
            </w:r>
          </w:p>
        </w:tc>
        <w:tc>
          <w:tcPr>
            <w:tcW w:type="dxa" w:w="1100"/>
            <w:tcMar>
              <w:top w:w="80" w:type="dxa"/>
              <w:start w:w="120" w:type="dxa"/>
              <w:bottom w:w="80" w:type="dxa"/>
              <w:end w:w="120" w:type="dxa"/>
            </w:tcMar>
            <w:vAlign w:val="top"/>
          </w:tcPr>
          <w:p>
            <w:pPr>
              <w:spacing w:after="0"/>
            </w:pPr>
            <w:r>
              <w:rPr>
                <w:sz w:val="15"/>
              </w:rPr>
            </w:r>
            <w:hyperlink r:id="rId12">
              <w:r>
                <w:rPr>
                  <w:color w:val="2E74B5"/>
                  <w:u w:val="single"/>
                  <w:sz w:val="18"/>
                </w:rPr>
                <w:t>U3</w:t>
              </w:r>
            </w:hyperlink>
            <w:r>
              <w:rPr>
                <w:rFonts w:ascii="Calibri" w:hAnsi="Calibri"/>
                <w:b w:val="0"/>
                <w:i w:val="0"/>
                <w:sz w:val="15"/>
              </w:rPr>
              <w:t xml:space="preserve">, </w:t>
            </w:r>
            <w:hyperlink r:id="rId17">
              <w:r>
                <w:rPr>
                  <w:color w:val="2E74B5"/>
                  <w:u w:val="single"/>
                  <w:sz w:val="18"/>
                </w:rPr>
                <w:t>R1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ASCII sixth-view candidate and a separate link labelled “Answer9”; answer image inaccessible.</w:t>
            </w:r>
          </w:p>
        </w:tc>
        <w:tc>
          <w:tcPr>
            <w:tcW w:type="dxa" w:w="1100"/>
            <w:tcMar>
              <w:top w:w="80" w:type="dxa"/>
              <w:start w:w="120" w:type="dxa"/>
              <w:bottom w:w="80" w:type="dxa"/>
              <w:end w:w="120" w:type="dxa"/>
            </w:tcMar>
            <w:vAlign w:val="top"/>
            <w:shd w:fill="FFF2CC"/>
          </w:tcPr>
          <w:p>
            <w:pPr>
              <w:spacing w:after="0"/>
            </w:pPr>
            <w:r>
              <w:rPr>
                <w:rFonts w:ascii="Calibri" w:hAnsi="Calibri"/>
                <w:b w:val="0"/>
                <w:i w:val="0"/>
                <w:sz w:val="16"/>
              </w:rPr>
              <w:t>Medium</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10</w:t>
            </w:r>
          </w:p>
        </w:tc>
        <w:tc>
          <w:tcPr>
            <w:tcW w:type="dxa" w:w="2600"/>
            <w:tcMar>
              <w:top w:w="80" w:type="dxa"/>
              <w:start w:w="120" w:type="dxa"/>
              <w:bottom w:w="80" w:type="dxa"/>
              <w:end w:w="120" w:type="dxa"/>
            </w:tcMar>
            <w:vAlign w:val="top"/>
          </w:tcPr>
          <w:p>
            <w:pPr>
              <w:spacing w:after="0"/>
            </w:pPr>
            <w:r>
              <w:rPr>
                <w:rFonts w:ascii="Calibri" w:hAnsi="Calibri"/>
                <w:b w:val="0"/>
                <w:i w:val="0"/>
                <w:sz w:val="16"/>
              </w:rPr>
              <w:t>“spherical onion… sliced six times”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31 maps to Power 10; answer thread gives formula/derivation.</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11</w:t>
            </w:r>
          </w:p>
        </w:tc>
        <w:tc>
          <w:tcPr>
            <w:tcW w:type="dxa" w:w="2600"/>
            <w:tcMar>
              <w:top w:w="80" w:type="dxa"/>
              <w:start w:w="120" w:type="dxa"/>
              <w:bottom w:w="80" w:type="dxa"/>
              <w:end w:w="120" w:type="dxa"/>
            </w:tcMar>
            <w:vAlign w:val="top"/>
          </w:tcPr>
          <w:p>
            <w:pPr>
              <w:spacing w:after="0"/>
            </w:pPr>
            <w:r>
              <w:rPr>
                <w:rFonts w:ascii="Calibri" w:hAnsi="Calibri"/>
                <w:b w:val="0"/>
                <w:i w:val="0"/>
                <w:sz w:val="16"/>
              </w:rPr>
              <w:t>“tetrahedral lump… sliced… six”</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32 maps to Power 11; candidate answer-level material is public.</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12</w:t>
            </w:r>
          </w:p>
        </w:tc>
        <w:tc>
          <w:tcPr>
            <w:tcW w:type="dxa" w:w="2600"/>
            <w:tcMar>
              <w:top w:w="80" w:type="dxa"/>
              <w:start w:w="120" w:type="dxa"/>
              <w:bottom w:w="80" w:type="dxa"/>
              <w:end w:w="120" w:type="dxa"/>
            </w:tcMar>
            <w:vAlign w:val="top"/>
          </w:tcPr>
          <w:p>
            <w:pPr>
              <w:spacing w:after="0"/>
            </w:pPr>
            <w:r>
              <w:rPr>
                <w:rFonts w:ascii="Calibri" w:hAnsi="Calibri"/>
                <w:b w:val="0"/>
                <w:i w:val="0"/>
                <w:sz w:val="16"/>
              </w:rPr>
              <w:t>“cube of butter… five… strokes”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prompt + decisive theorem</w:t>
            </w:r>
          </w:p>
        </w:tc>
        <w:tc>
          <w:tcPr>
            <w:tcW w:type="dxa" w:w="1100"/>
            <w:tcMar>
              <w:top w:w="80" w:type="dxa"/>
              <w:start w:w="120" w:type="dxa"/>
              <w:bottom w:w="80" w:type="dxa"/>
              <w:end w:w="120" w:type="dxa"/>
            </w:tcMar>
            <w:vAlign w:val="top"/>
          </w:tcPr>
          <w:p>
            <w:pPr>
              <w:spacing w:after="0"/>
            </w:pPr>
            <w:r>
              <w:rPr>
                <w:sz w:val="15"/>
              </w:rPr>
            </w:r>
            <w:hyperlink r:id="rId16">
              <w:r>
                <w:rPr>
                  <w:color w:val="2E74B5"/>
                  <w:u w:val="single"/>
                  <w:sz w:val="18"/>
                </w:rPr>
                <w:t>B1</w:t>
              </w:r>
            </w:hyperlink>
            <w:r>
              <w:rPr>
                <w:rFonts w:ascii="Calibri" w:hAnsi="Calibri"/>
                <w:b w:val="0"/>
                <w:i w:val="0"/>
                <w:sz w:val="15"/>
              </w:rPr>
              <w:t xml:space="preserve">, </w:t>
            </w:r>
            <w:hyperlink r:id="rId18">
              <w:r>
                <w:rPr>
                  <w:color w:val="2E74B5"/>
                  <w:u w:val="single"/>
                  <w:sz w:val="18"/>
                </w:rPr>
                <w:t>R2</w:t>
              </w:r>
            </w:hyperlink>
            <w:r>
              <w:rPr>
                <w:rFonts w:ascii="Calibri" w:hAnsi="Calibri"/>
                <w:b w:val="0"/>
                <w:i w:val="0"/>
                <w:sz w:val="15"/>
              </w:rPr>
              <w:t xml:space="preserve">, </w:t>
            </w:r>
            <w:hyperlink r:id="rId19">
              <w:r>
                <w:rPr>
                  <w:color w:val="2E74B5"/>
                  <w:u w:val="single"/>
                  <w:sz w:val="18"/>
                </w:rPr>
                <w:t>M1</w:t>
              </w:r>
            </w:hyperlink>
            <w:r>
              <w:rPr>
                <w:rFonts w:ascii="Calibri" w:hAnsi="Calibri"/>
                <w:b w:val="0"/>
                <w:i w:val="0"/>
                <w:sz w:val="15"/>
              </w:rPr>
              <w:t xml:space="preserve">, </w:t>
            </w:r>
            <w:hyperlink r:id="rId22">
              <w:r>
                <w:rPr>
                  <w:color w:val="2E74B5"/>
                  <w:u w:val="single"/>
                  <w:sz w:val="18"/>
                </w:rPr>
                <w:t>W1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Exact prompt appears publicly; another thread identifies Steiner’s maximum-regions theorem, and a public exposition gives the formula.</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13</w:t>
            </w:r>
          </w:p>
        </w:tc>
        <w:tc>
          <w:tcPr>
            <w:tcW w:type="dxa" w:w="2600"/>
            <w:tcMar>
              <w:top w:w="80" w:type="dxa"/>
              <w:start w:w="120" w:type="dxa"/>
              <w:bottom w:w="80" w:type="dxa"/>
              <w:end w:w="120" w:type="dxa"/>
            </w:tcMar>
            <w:vAlign w:val="top"/>
          </w:tcPr>
          <w:p>
            <w:pPr>
              <w:spacing w:after="0"/>
            </w:pPr>
            <w:r>
              <w:rPr>
                <w:rFonts w:ascii="Calibri" w:hAnsi="Calibri"/>
                <w:b w:val="0"/>
                <w:i w:val="0"/>
                <w:sz w:val="16"/>
              </w:rPr>
              <w:t>“doughnut… Möbius strip”</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33 maps to Power 13; competing candidates and a long worked topology attempt are public. Correctness unresolved.</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14</w:t>
            </w:r>
          </w:p>
        </w:tc>
        <w:tc>
          <w:tcPr>
            <w:tcW w:type="dxa" w:w="2600"/>
            <w:tcMar>
              <w:top w:w="80" w:type="dxa"/>
              <w:start w:w="120" w:type="dxa"/>
              <w:bottom w:w="80" w:type="dxa"/>
              <w:end w:w="120" w:type="dxa"/>
            </w:tcMar>
            <w:vAlign w:val="top"/>
          </w:tcPr>
          <w:p>
            <w:pPr>
              <w:spacing w:after="0"/>
            </w:pPr>
            <w:r>
              <w:rPr>
                <w:rFonts w:ascii="Calibri" w:hAnsi="Calibri"/>
                <w:b w:val="0"/>
                <w:i w:val="0"/>
                <w:sz w:val="16"/>
              </w:rPr>
              <w:t>“objects… 1 to 100 pounds”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item + common classic</w:t>
            </w:r>
          </w:p>
        </w:tc>
        <w:tc>
          <w:tcPr>
            <w:tcW w:type="dxa" w:w="1100"/>
            <w:tcMar>
              <w:top w:w="80" w:type="dxa"/>
              <w:start w:w="120" w:type="dxa"/>
              <w:bottom w:w="80" w:type="dxa"/>
              <w:end w:w="120" w:type="dxa"/>
            </w:tcMar>
            <w:vAlign w:val="top"/>
          </w:tcPr>
          <w:p>
            <w:pPr>
              <w:spacing w:after="0"/>
            </w:pPr>
            <w:r>
              <w:rPr>
                <w:sz w:val="15"/>
              </w:rPr>
            </w:r>
            <w:hyperlink r:id="rId17">
              <w:r>
                <w:rPr>
                  <w:color w:val="2E74B5"/>
                  <w:u w:val="single"/>
                  <w:sz w:val="18"/>
                </w:rPr>
                <w:t>R1</w:t>
              </w:r>
            </w:hyperlink>
            <w:r>
              <w:rPr>
                <w:rFonts w:ascii="Calibri" w:hAnsi="Calibri"/>
                <w:b w:val="0"/>
                <w:i w:val="0"/>
                <w:sz w:val="15"/>
              </w:rPr>
              <w:t xml:space="preserve">, </w:t>
            </w:r>
            <w:hyperlink r:id="rId30">
              <w:r>
                <w:rPr>
                  <w:color w:val="2E74B5"/>
                  <w:u w:val="single"/>
                  <w:sz w:val="18"/>
                </w:rPr>
                <w:t>A1</w:t>
              </w:r>
            </w:hyperlink>
            <w:r>
              <w:rPr>
                <w:rFonts w:ascii="Calibri" w:hAnsi="Calibri"/>
                <w:b w:val="0"/>
                <w:i w:val="0"/>
                <w:sz w:val="15"/>
              </w:rPr>
              <w:t xml:space="preserve">, </w:t>
            </w:r>
            <w:hyperlink r:id="rId31">
              <w:r>
                <w:rPr>
                  <w:color w:val="2E74B5"/>
                  <w:u w:val="single"/>
                  <w:sz w:val="18"/>
                </w:rPr>
                <w:t>I1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Power-specific thread exposes balanced ternary; academic sources show the underlying Bachet problem is centuries old.</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15</w:t>
            </w:r>
          </w:p>
        </w:tc>
        <w:tc>
          <w:tcPr>
            <w:tcW w:type="dxa" w:w="2600"/>
            <w:tcMar>
              <w:top w:w="80" w:type="dxa"/>
              <w:start w:w="120" w:type="dxa"/>
              <w:bottom w:w="80" w:type="dxa"/>
              <w:end w:w="120" w:type="dxa"/>
            </w:tcMar>
            <w:vAlign w:val="top"/>
          </w:tcPr>
          <w:p>
            <w:pPr>
              <w:spacing w:after="0"/>
            </w:pPr>
            <w:r>
              <w:rPr>
                <w:rFonts w:ascii="Calibri" w:hAnsi="Calibri"/>
                <w:b w:val="0"/>
                <w:i w:val="0"/>
                <w:sz w:val="16"/>
              </w:rPr>
              <w:t>“lock… 3,000 barrels…”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20">
              <w:r>
                <w:rPr>
                  <w:color w:val="2E74B5"/>
                  <w:u w:val="single"/>
                  <w:sz w:val="18"/>
                </w:rPr>
                <w:t>F2</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Indexed forum thread reproduces the distinctive prompt and a proposed final result; direct fetch timed out.</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16</w:t>
            </w:r>
          </w:p>
        </w:tc>
        <w:tc>
          <w:tcPr>
            <w:tcW w:type="dxa" w:w="2600"/>
            <w:tcMar>
              <w:top w:w="80" w:type="dxa"/>
              <w:start w:w="120" w:type="dxa"/>
              <w:bottom w:w="80" w:type="dxa"/>
              <w:end w:w="120" w:type="dxa"/>
            </w:tcMar>
            <w:vAlign w:val="top"/>
          </w:tcPr>
          <w:p>
            <w:pPr>
              <w:spacing w:after="0"/>
            </w:pPr>
            <w:r>
              <w:rPr>
                <w:rFonts w:ascii="Calibri" w:hAnsi="Calibri"/>
                <w:b w:val="0"/>
                <w:i w:val="0"/>
                <w:sz w:val="16"/>
              </w:rPr>
              <w:t>“knight… square A to square B”</w:t>
            </w:r>
          </w:p>
        </w:tc>
        <w:tc>
          <w:tcPr>
            <w:tcW w:type="dxa" w:w="1800"/>
            <w:tcMar>
              <w:top w:w="80" w:type="dxa"/>
              <w:start w:w="120" w:type="dxa"/>
              <w:bottom w:w="80" w:type="dxa"/>
              <w:end w:w="120" w:type="dxa"/>
            </w:tcMar>
            <w:vAlign w:val="top"/>
          </w:tcPr>
          <w:p>
            <w:pPr>
              <w:spacing w:after="0"/>
            </w:pPr>
            <w:r>
              <w:rPr>
                <w:rFonts w:ascii="Calibri" w:hAnsi="Calibri"/>
                <w:b w:val="0"/>
                <w:i w:val="0"/>
                <w:sz w:val="16"/>
              </w:rPr>
              <w:t>Prompt repost only</w:t>
            </w:r>
          </w:p>
        </w:tc>
        <w:tc>
          <w:tcPr>
            <w:tcW w:type="dxa" w:w="1100"/>
            <w:tcMar>
              <w:top w:w="80" w:type="dxa"/>
              <w:start w:w="120" w:type="dxa"/>
              <w:bottom w:w="80" w:type="dxa"/>
              <w:end w:w="120" w:type="dxa"/>
            </w:tcMar>
            <w:vAlign w:val="top"/>
          </w:tcPr>
          <w:p>
            <w:pPr>
              <w:spacing w:after="0"/>
            </w:pPr>
            <w:r>
              <w:rPr>
                <w:sz w:val="15"/>
              </w:rPr>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Exact prompt is reposted, but no substantive public answer/hint was verified.</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17</w:t>
            </w:r>
          </w:p>
        </w:tc>
        <w:tc>
          <w:tcPr>
            <w:tcW w:type="dxa" w:w="2600"/>
            <w:tcMar>
              <w:top w:w="80" w:type="dxa"/>
              <w:start w:w="120" w:type="dxa"/>
              <w:bottom w:w="80" w:type="dxa"/>
              <w:end w:w="120" w:type="dxa"/>
            </w:tcMar>
            <w:vAlign w:val="top"/>
          </w:tcPr>
          <w:p>
            <w:pPr>
              <w:spacing w:after="0"/>
            </w:pPr>
            <w:r>
              <w:rPr>
                <w:rFonts w:ascii="Calibri" w:hAnsi="Calibri"/>
                <w:b w:val="0"/>
                <w:i w:val="0"/>
                <w:sz w:val="16"/>
              </w:rPr>
              <w:t>“modified… craps… dodecahedra”</w:t>
            </w:r>
          </w:p>
        </w:tc>
        <w:tc>
          <w:tcPr>
            <w:tcW w:type="dxa" w:w="1800"/>
            <w:tcMar>
              <w:top w:w="80" w:type="dxa"/>
              <w:start w:w="120" w:type="dxa"/>
              <w:bottom w:w="80" w:type="dxa"/>
              <w:end w:w="120" w:type="dxa"/>
            </w:tcMar>
            <w:vAlign w:val="top"/>
          </w:tcPr>
          <w:p>
            <w:pPr>
              <w:spacing w:after="0"/>
            </w:pPr>
            <w:r>
              <w:rPr>
                <w:rFonts w:ascii="Calibri" w:hAnsi="Calibri"/>
                <w:b w:val="0"/>
                <w:i w:val="0"/>
                <w:sz w:val="16"/>
              </w:rPr>
              <w:t>Prompt repost only</w:t>
            </w:r>
          </w:p>
        </w:tc>
        <w:tc>
          <w:tcPr>
            <w:tcW w:type="dxa" w:w="1100"/>
            <w:tcMar>
              <w:top w:w="80" w:type="dxa"/>
              <w:start w:w="120" w:type="dxa"/>
              <w:bottom w:w="80" w:type="dxa"/>
              <w:end w:w="120" w:type="dxa"/>
            </w:tcMar>
            <w:vAlign w:val="top"/>
          </w:tcPr>
          <w:p>
            <w:pPr>
              <w:spacing w:after="0"/>
            </w:pPr>
            <w:r>
              <w:rPr>
                <w:sz w:val="15"/>
              </w:rPr>
            </w:r>
            <w:hyperlink r:id="rId32">
              <w:r>
                <w:rPr>
                  <w:color w:val="2E74B5"/>
                  <w:u w:val="single"/>
                  <w:sz w:val="18"/>
                </w:rPr>
                <w:t>F3</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Exact prompt found; no accessible worked solution verified.</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18</w:t>
            </w:r>
          </w:p>
        </w:tc>
        <w:tc>
          <w:tcPr>
            <w:tcW w:type="dxa" w:w="2600"/>
            <w:tcMar>
              <w:top w:w="80" w:type="dxa"/>
              <w:start w:w="120" w:type="dxa"/>
              <w:bottom w:w="80" w:type="dxa"/>
              <w:end w:w="120" w:type="dxa"/>
            </w:tcMar>
            <w:vAlign w:val="top"/>
          </w:tcPr>
          <w:p>
            <w:pPr>
              <w:spacing w:after="0"/>
            </w:pPr>
            <w:r>
              <w:rPr>
                <w:rFonts w:ascii="Calibri" w:hAnsi="Calibri"/>
                <w:b w:val="0"/>
                <w:i w:val="0"/>
                <w:sz w:val="16"/>
              </w:rPr>
              <w:t>“tetrahedral-shaped crystal… 1,000,000”</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17">
              <w:r>
                <w:rPr>
                  <w:color w:val="2E74B5"/>
                  <w:u w:val="single"/>
                  <w:sz w:val="18"/>
                </w:rPr>
                <w:t>R1</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Comments give the summation and sum-of-squares route, amounting to a near-complete derivation.</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19</w:t>
            </w:r>
          </w:p>
        </w:tc>
        <w:tc>
          <w:tcPr>
            <w:tcW w:type="dxa" w:w="2600"/>
            <w:tcMar>
              <w:top w:w="80" w:type="dxa"/>
              <w:start w:w="120" w:type="dxa"/>
              <w:bottom w:w="80" w:type="dxa"/>
              <w:end w:w="120" w:type="dxa"/>
            </w:tcMar>
            <w:vAlign w:val="top"/>
          </w:tcPr>
          <w:p>
            <w:pPr>
              <w:spacing w:after="0"/>
            </w:pPr>
            <w:r>
              <w:rPr>
                <w:rFonts w:ascii="Calibri" w:hAnsi="Calibri"/>
                <w:b w:val="0"/>
                <w:i w:val="0"/>
                <w:sz w:val="16"/>
              </w:rPr>
              <w:t>“27 identical cubes… two… omitted”</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7">
              <w:r>
                <w:rPr>
                  <w:color w:val="2E74B5"/>
                  <w:u w:val="single"/>
                  <w:sz w:val="18"/>
                </w:rPr>
                <w:t>R1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29 maps to Power 19 and has a public candidate answer; r/math also links an “Answer19” image.</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20</w:t>
            </w:r>
          </w:p>
        </w:tc>
        <w:tc>
          <w:tcPr>
            <w:tcW w:type="dxa" w:w="2600"/>
            <w:tcMar>
              <w:top w:w="80" w:type="dxa"/>
              <w:start w:w="120" w:type="dxa"/>
              <w:bottom w:w="80" w:type="dxa"/>
              <w:end w:w="120" w:type="dxa"/>
            </w:tcMar>
            <w:vAlign w:val="top"/>
          </w:tcPr>
          <w:p>
            <w:pPr>
              <w:spacing w:after="0"/>
            </w:pPr>
            <w:r>
              <w:rPr>
                <w:rFonts w:ascii="Calibri" w:hAnsi="Calibri"/>
                <w:b w:val="0"/>
                <w:i w:val="0"/>
                <w:sz w:val="16"/>
              </w:rPr>
              <w:t>“27… cheese chunks… mouse”</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12">
              <w:r>
                <w:rPr>
                  <w:color w:val="2E74B5"/>
                  <w:u w:val="single"/>
                  <w:sz w:val="18"/>
                </w:rPr>
                <w:t>U3</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Public construction followed by an upper-bound proof classifying cubes as V/E/F/C.</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21</w:t>
            </w:r>
          </w:p>
        </w:tc>
        <w:tc>
          <w:tcPr>
            <w:tcW w:type="dxa" w:w="2600"/>
            <w:tcMar>
              <w:top w:w="80" w:type="dxa"/>
              <w:start w:w="120" w:type="dxa"/>
              <w:bottom w:w="80" w:type="dxa"/>
              <w:end w:w="120" w:type="dxa"/>
            </w:tcMar>
            <w:vAlign w:val="top"/>
          </w:tcPr>
          <w:p>
            <w:pPr>
              <w:spacing w:after="0"/>
            </w:pPr>
            <w:r>
              <w:rPr>
                <w:rFonts w:ascii="Calibri" w:hAnsi="Calibri"/>
                <w:b w:val="0"/>
                <w:i w:val="0"/>
                <w:sz w:val="16"/>
              </w:rPr>
              <w:t>“ants… tetrahedron”</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7">
              <w:r>
                <w:rPr>
                  <w:color w:val="2E74B5"/>
                  <w:u w:val="single"/>
                  <w:sz w:val="18"/>
                </w:rPr>
                <w:t>R1</w:t>
              </w:r>
            </w:hyperlink>
            <w:r>
              <w:rPr>
                <w:rFonts w:ascii="Calibri" w:hAnsi="Calibri"/>
                <w:b w:val="0"/>
                <w:i w:val="0"/>
                <w:sz w:val="15"/>
              </w:rPr>
              <w:t xml:space="preserve">, </w:t>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38 maps to Power 21; candidate answer list is public, with a graph-theory route and an “Answer21” link.</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22</w:t>
            </w:r>
          </w:p>
        </w:tc>
        <w:tc>
          <w:tcPr>
            <w:tcW w:type="dxa" w:w="2600"/>
            <w:tcMar>
              <w:top w:w="80" w:type="dxa"/>
              <w:start w:w="120" w:type="dxa"/>
              <w:bottom w:w="80" w:type="dxa"/>
              <w:end w:w="120" w:type="dxa"/>
            </w:tcMar>
            <w:vAlign w:val="top"/>
          </w:tcPr>
          <w:p>
            <w:pPr>
              <w:spacing w:after="0"/>
            </w:pPr>
            <w:r>
              <w:rPr>
                <w:rFonts w:ascii="Calibri" w:hAnsi="Calibri"/>
                <w:b w:val="0"/>
                <w:i w:val="0"/>
                <w:sz w:val="16"/>
              </w:rPr>
              <w:t>“ants… cube”</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8">
              <w:r>
                <w:rPr>
                  <w:color w:val="2E74B5"/>
                  <w:u w:val="single"/>
                  <w:sz w:val="18"/>
                </w:rPr>
                <w:t>R2</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39 maps to Power 22; public candidate answers and Hamiltonian-cycle route.</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23</w:t>
            </w:r>
          </w:p>
        </w:tc>
        <w:tc>
          <w:tcPr>
            <w:tcW w:type="dxa" w:w="2600"/>
            <w:tcMar>
              <w:top w:w="80" w:type="dxa"/>
              <w:start w:w="120" w:type="dxa"/>
              <w:bottom w:w="80" w:type="dxa"/>
              <w:end w:w="120" w:type="dxa"/>
            </w:tcMar>
            <w:vAlign w:val="top"/>
          </w:tcPr>
          <w:p>
            <w:pPr>
              <w:spacing w:after="0"/>
            </w:pPr>
            <w:r>
              <w:rPr>
                <w:rFonts w:ascii="Calibri" w:hAnsi="Calibri"/>
                <w:b w:val="0"/>
                <w:i w:val="0"/>
                <w:sz w:val="16"/>
              </w:rPr>
              <w:t>“ants… regular octahedron”</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40 maps to Power 23; public candidate answer and graph-theory route.</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24</w:t>
            </w:r>
          </w:p>
        </w:tc>
        <w:tc>
          <w:tcPr>
            <w:tcW w:type="dxa" w:w="2600"/>
            <w:tcMar>
              <w:top w:w="80" w:type="dxa"/>
              <w:start w:w="120" w:type="dxa"/>
              <w:bottom w:w="80" w:type="dxa"/>
              <w:end w:w="120" w:type="dxa"/>
            </w:tcMar>
            <w:vAlign w:val="top"/>
          </w:tcPr>
          <w:p>
            <w:pPr>
              <w:spacing w:after="0"/>
            </w:pPr>
            <w:r>
              <w:rPr>
                <w:rFonts w:ascii="Calibri" w:hAnsi="Calibri"/>
                <w:b w:val="0"/>
                <w:i w:val="0"/>
                <w:sz w:val="16"/>
              </w:rPr>
              <w:t>“ants… regular dodecahedron”</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41 maps to Power 24; public candidate answer and graph-theory route.</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25</w:t>
            </w:r>
          </w:p>
        </w:tc>
        <w:tc>
          <w:tcPr>
            <w:tcW w:type="dxa" w:w="2600"/>
            <w:tcMar>
              <w:top w:w="80" w:type="dxa"/>
              <w:start w:w="120" w:type="dxa"/>
              <w:bottom w:w="80" w:type="dxa"/>
              <w:end w:w="120" w:type="dxa"/>
            </w:tcMar>
            <w:vAlign w:val="top"/>
          </w:tcPr>
          <w:p>
            <w:pPr>
              <w:spacing w:after="0"/>
            </w:pPr>
            <w:r>
              <w:rPr>
                <w:rFonts w:ascii="Calibri" w:hAnsi="Calibri"/>
                <w:b w:val="0"/>
                <w:i w:val="0"/>
                <w:sz w:val="16"/>
              </w:rPr>
              <w:t>“cube and tetrahedron interpenetrate”</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36 maps to Power 25; public candidate answer list. No official-key authentication.</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26</w:t>
            </w:r>
          </w:p>
        </w:tc>
        <w:tc>
          <w:tcPr>
            <w:tcW w:type="dxa" w:w="2600"/>
            <w:tcMar>
              <w:top w:w="80" w:type="dxa"/>
              <w:start w:w="120" w:type="dxa"/>
              <w:bottom w:w="80" w:type="dxa"/>
              <w:end w:w="120" w:type="dxa"/>
            </w:tcMar>
            <w:vAlign w:val="top"/>
          </w:tcPr>
          <w:p>
            <w:pPr>
              <w:spacing w:after="0"/>
            </w:pPr>
            <w:r>
              <w:rPr>
                <w:rFonts w:ascii="Calibri" w:hAnsi="Calibri"/>
                <w:b w:val="0"/>
                <w:i w:val="0"/>
                <w:sz w:val="16"/>
              </w:rPr>
              <w:t>“three interpenetrating cubes”</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 item</w:t>
            </w:r>
          </w:p>
        </w:tc>
        <w:tc>
          <w:tcPr>
            <w:tcW w:type="dxa" w:w="1100"/>
            <w:tcMar>
              <w:top w:w="80" w:type="dxa"/>
              <w:start w:w="120" w:type="dxa"/>
              <w:bottom w:w="80" w:type="dxa"/>
              <w:end w:w="120" w:type="dxa"/>
            </w:tcMar>
            <w:vAlign w:val="top"/>
          </w:tcPr>
          <w:p>
            <w:pPr>
              <w:spacing w:after="0"/>
            </w:pPr>
            <w:r>
              <w:rPr>
                <w:sz w:val="15"/>
              </w:rPr>
            </w:r>
            <w:hyperlink r:id="rId22">
              <w:r>
                <w:rPr>
                  <w:color w:val="2E74B5"/>
                  <w:u w:val="single"/>
                  <w:sz w:val="18"/>
                </w:rPr>
                <w:t>W1</w:t>
              </w:r>
            </w:hyperlink>
            <w:r>
              <w:rPr>
                <w:rFonts w:ascii="Calibri" w:hAnsi="Calibri"/>
                <w:b w:val="0"/>
                <w:i w:val="0"/>
                <w:sz w:val="15"/>
              </w:rPr>
              <w:t xml:space="preserve">, </w:t>
            </w:r>
            <w:hyperlink r:id="rId23">
              <w:r>
                <w:rPr>
                  <w:color w:val="2E74B5"/>
                  <w:u w:val="single"/>
                  <w:sz w:val="18"/>
                </w:rPr>
                <w:t>G1</w:t>
              </w:r>
            </w:hyperlink>
            <w:r>
              <w:rPr>
                <w:rFonts w:ascii="Calibri" w:hAnsi="Calibri"/>
                <w:b w:val="0"/>
                <w:i w:val="0"/>
                <w:sz w:val="15"/>
              </w:rPr>
              <w:t xml:space="preserve">, </w:t>
            </w:r>
            <w:hyperlink r:id="rId24">
              <w:r>
                <w:rPr>
                  <w:color w:val="2E74B5"/>
                  <w:u w:val="single"/>
                  <w:sz w:val="18"/>
                </w:rPr>
                <w:t>H1</w:t>
              </w:r>
            </w:hyperlink>
            <w:r>
              <w:rPr>
                <w:rFonts w:ascii="Calibri" w:hAnsi="Calibri"/>
                <w:b w:val="0"/>
                <w:i w:val="0"/>
                <w:sz w:val="15"/>
              </w:rPr>
              <w:t xml:space="preserve">, </w:t>
            </w:r>
            <w:hyperlink r:id="rId25">
              <w:r>
                <w:rPr>
                  <w:color w:val="2E74B5"/>
                  <w:u w:val="single"/>
                  <w:sz w:val="18"/>
                </w:rPr>
                <w:t>P1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Prompt public by 1988; later forums give detailed region-counting attempts and competing totals.</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27</w:t>
            </w:r>
          </w:p>
        </w:tc>
        <w:tc>
          <w:tcPr>
            <w:tcW w:type="dxa" w:w="2600"/>
            <w:tcMar>
              <w:top w:w="80" w:type="dxa"/>
              <w:start w:w="120" w:type="dxa"/>
              <w:bottom w:w="80" w:type="dxa"/>
              <w:end w:w="120" w:type="dxa"/>
            </w:tcMar>
            <w:vAlign w:val="top"/>
          </w:tcPr>
          <w:p>
            <w:pPr>
              <w:spacing w:after="0"/>
            </w:pPr>
            <w:r>
              <w:rPr>
                <w:rFonts w:ascii="Calibri" w:hAnsi="Calibri"/>
                <w:b w:val="0"/>
                <w:i w:val="0"/>
                <w:sz w:val="16"/>
              </w:rPr>
              <w:t>“two… cones and… cylinder”</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 no answer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35 maps to Power 27, but the retained 2005 answer list shows a question mark rather than an answer.</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28</w:t>
            </w:r>
          </w:p>
        </w:tc>
        <w:tc>
          <w:tcPr>
            <w:tcW w:type="dxa" w:w="2600"/>
            <w:tcMar>
              <w:top w:w="80" w:type="dxa"/>
              <w:start w:w="120" w:type="dxa"/>
              <w:bottom w:w="80" w:type="dxa"/>
              <w:end w:w="120" w:type="dxa"/>
            </w:tcMar>
            <w:vAlign w:val="top"/>
          </w:tcPr>
          <w:p>
            <w:pPr>
              <w:spacing w:after="0"/>
            </w:pPr>
            <w:r>
              <w:rPr>
                <w:rFonts w:ascii="Calibri" w:hAnsi="Calibri"/>
                <w:b w:val="0"/>
                <w:i w:val="0"/>
                <w:sz w:val="16"/>
              </w:rPr>
              <w:t>“five dots… flat surface… triples”</w:t>
            </w:r>
          </w:p>
        </w:tc>
        <w:tc>
          <w:tcPr>
            <w:tcW w:type="dxa" w:w="1800"/>
            <w:tcMar>
              <w:top w:w="80" w:type="dxa"/>
              <w:start w:w="120" w:type="dxa"/>
              <w:bottom w:w="80" w:type="dxa"/>
              <w:end w:w="120" w:type="dxa"/>
            </w:tcMar>
            <w:vAlign w:val="top"/>
          </w:tcPr>
          <w:p>
            <w:pPr>
              <w:spacing w:after="0"/>
            </w:pPr>
            <w:r>
              <w:rPr>
                <w:rFonts w:ascii="Calibri" w:hAnsi="Calibri"/>
                <w:b w:val="0"/>
                <w:i w:val="0"/>
                <w:sz w:val="16"/>
              </w:rPr>
              <w:t>No substantive match found</w:t>
            </w:r>
          </w:p>
        </w:tc>
        <w:tc>
          <w:tcPr>
            <w:tcW w:type="dxa" w:w="1100"/>
            <w:tcMar>
              <w:top w:w="80" w:type="dxa"/>
              <w:start w:w="120" w:type="dxa"/>
              <w:bottom w:w="80" w:type="dxa"/>
              <w:end w:w="120" w:type="dxa"/>
            </w:tcMar>
            <w:vAlign w:val="top"/>
          </w:tcPr>
          <w:p>
            <w:pPr>
              <w:spacing w:after="0"/>
            </w:pPr>
            <w:r>
              <w:rPr>
                <w:sz w:val="15"/>
              </w:rPr>
            </w:r>
            <w:hyperlink r:id="rId29">
              <w:r>
                <w:rPr>
                  <w:color w:val="2E74B5"/>
                  <w:u w:val="single"/>
                  <w:sz w:val="18"/>
                </w:rPr>
                <w:t>O1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Only official/reposted prompt exposure located.</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29</w:t>
            </w:r>
          </w:p>
        </w:tc>
        <w:tc>
          <w:tcPr>
            <w:tcW w:type="dxa" w:w="2600"/>
            <w:tcMar>
              <w:top w:w="80" w:type="dxa"/>
              <w:start w:w="120" w:type="dxa"/>
              <w:bottom w:w="80" w:type="dxa"/>
              <w:end w:w="120" w:type="dxa"/>
            </w:tcMar>
            <w:vAlign w:val="top"/>
          </w:tcPr>
          <w:p>
            <w:pPr>
              <w:spacing w:after="0"/>
            </w:pPr>
            <w:r>
              <w:rPr>
                <w:rFonts w:ascii="Calibri" w:hAnsi="Calibri"/>
                <w:b w:val="0"/>
                <w:i w:val="0"/>
                <w:sz w:val="16"/>
              </w:rPr>
              <w:t>“diagonal… across each… cube”</w:t>
            </w:r>
          </w:p>
        </w:tc>
        <w:tc>
          <w:tcPr>
            <w:tcW w:type="dxa" w:w="1800"/>
            <w:tcMar>
              <w:top w:w="80" w:type="dxa"/>
              <w:start w:w="120" w:type="dxa"/>
              <w:bottom w:w="80" w:type="dxa"/>
              <w:end w:w="120" w:type="dxa"/>
            </w:tcMar>
            <w:vAlign w:val="top"/>
          </w:tcPr>
          <w:p>
            <w:pPr>
              <w:spacing w:after="0"/>
            </w:pPr>
            <w:r>
              <w:rPr>
                <w:rFonts w:ascii="Calibri" w:hAnsi="Calibri"/>
                <w:b w:val="0"/>
                <w:i w:val="0"/>
                <w:sz w:val="16"/>
              </w:rPr>
              <w:t>Exact Titan 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30 maps to Power 29; 2005 thread gives a schematic enumeration, with Burnside/Pólya noted independently.</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30</w:t>
            </w:r>
          </w:p>
        </w:tc>
        <w:tc>
          <w:tcPr>
            <w:tcW w:type="dxa" w:w="2600"/>
            <w:tcMar>
              <w:top w:w="80" w:type="dxa"/>
              <w:start w:w="120" w:type="dxa"/>
              <w:bottom w:w="80" w:type="dxa"/>
              <w:end w:w="120" w:type="dxa"/>
            </w:tcMar>
            <w:vAlign w:val="top"/>
          </w:tcPr>
          <w:p>
            <w:pPr>
              <w:spacing w:after="0"/>
            </w:pPr>
            <w:r>
              <w:rPr>
                <w:rFonts w:ascii="Calibri" w:hAnsi="Calibri"/>
                <w:b w:val="0"/>
                <w:i w:val="0"/>
                <w:sz w:val="16"/>
              </w:rPr>
              <w:t>“two… edges… dodecahedron… white”</w:t>
            </w:r>
          </w:p>
        </w:tc>
        <w:tc>
          <w:tcPr>
            <w:tcW w:type="dxa" w:w="1800"/>
            <w:tcMar>
              <w:top w:w="80" w:type="dxa"/>
              <w:start w:w="120" w:type="dxa"/>
              <w:bottom w:w="80" w:type="dxa"/>
              <w:end w:w="120" w:type="dxa"/>
            </w:tcMar>
            <w:vAlign w:val="top"/>
          </w:tcPr>
          <w:p>
            <w:pPr>
              <w:spacing w:after="0"/>
            </w:pPr>
            <w:r>
              <w:rPr>
                <w:rFonts w:ascii="Calibri" w:hAnsi="Calibri"/>
                <w:b w:val="0"/>
                <w:i w:val="0"/>
                <w:sz w:val="16"/>
              </w:rPr>
              <w:t>Common-method overlap</w:t>
            </w:r>
          </w:p>
        </w:tc>
        <w:tc>
          <w:tcPr>
            <w:tcW w:type="dxa" w:w="1100"/>
            <w:tcMar>
              <w:top w:w="80" w:type="dxa"/>
              <w:start w:w="120" w:type="dxa"/>
              <w:bottom w:w="80" w:type="dxa"/>
              <w:end w:w="120" w:type="dxa"/>
            </w:tcMar>
            <w:vAlign w:val="top"/>
          </w:tcPr>
          <w:p>
            <w:pPr>
              <w:spacing w:after="0"/>
            </w:pPr>
            <w:r>
              <w:rPr>
                <w:sz w:val="15"/>
              </w:rPr>
            </w:r>
            <w:hyperlink r:id="rId18">
              <w:r>
                <w:rPr>
                  <w:color w:val="2E74B5"/>
                  <w:u w:val="single"/>
                  <w:sz w:val="18"/>
                </w:rPr>
                <w:t>R2</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Explicitly grouped with Burnside/Pólya counting problems; no item-specific result verified.</w:t>
            </w:r>
          </w:p>
        </w:tc>
        <w:tc>
          <w:tcPr>
            <w:tcW w:type="dxa" w:w="1100"/>
            <w:tcMar>
              <w:top w:w="80" w:type="dxa"/>
              <w:start w:w="120" w:type="dxa"/>
              <w:bottom w:w="80" w:type="dxa"/>
              <w:end w:w="120" w:type="dxa"/>
            </w:tcMar>
            <w:vAlign w:val="top"/>
            <w:shd w:fill="FFF2CC"/>
          </w:tcPr>
          <w:p>
            <w:pPr>
              <w:spacing w:after="0"/>
            </w:pPr>
            <w:r>
              <w:rPr>
                <w:rFonts w:ascii="Calibri" w:hAnsi="Calibri"/>
                <w:b w:val="0"/>
                <w:i w:val="0"/>
                <w:sz w:val="16"/>
              </w:rPr>
              <w:t>Medium</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31</w:t>
            </w:r>
          </w:p>
        </w:tc>
        <w:tc>
          <w:tcPr>
            <w:tcW w:type="dxa" w:w="2600"/>
            <w:tcMar>
              <w:top w:w="80" w:type="dxa"/>
              <w:start w:w="120" w:type="dxa"/>
              <w:bottom w:w="80" w:type="dxa"/>
              <w:end w:w="120" w:type="dxa"/>
            </w:tcMar>
            <w:vAlign w:val="top"/>
          </w:tcPr>
          <w:p>
            <w:pPr>
              <w:spacing w:after="0"/>
            </w:pPr>
            <w:r>
              <w:rPr>
                <w:rFonts w:ascii="Calibri" w:hAnsi="Calibri"/>
                <w:b w:val="0"/>
                <w:i w:val="0"/>
                <w:sz w:val="16"/>
              </w:rPr>
              <w:t>“ten marbles… tosses… unbiased coin”</w:t>
            </w:r>
          </w:p>
        </w:tc>
        <w:tc>
          <w:tcPr>
            <w:tcW w:type="dxa" w:w="1800"/>
            <w:tcMar>
              <w:top w:w="80" w:type="dxa"/>
              <w:start w:w="120" w:type="dxa"/>
              <w:bottom w:w="80" w:type="dxa"/>
              <w:end w:w="120" w:type="dxa"/>
            </w:tcMar>
            <w:vAlign w:val="top"/>
          </w:tcPr>
          <w:p>
            <w:pPr>
              <w:spacing w:after="0"/>
            </w:pPr>
            <w:r>
              <w:rPr>
                <w:rFonts w:ascii="Calibri" w:hAnsi="Calibri"/>
                <w:b w:val="0"/>
                <w:i w:val="0"/>
                <w:sz w:val="16"/>
              </w:rPr>
              <w:t>Exact current/predecessor</w:t>
            </w:r>
          </w:p>
        </w:tc>
        <w:tc>
          <w:tcPr>
            <w:tcW w:type="dxa" w:w="1100"/>
            <w:tcMar>
              <w:top w:w="80" w:type="dxa"/>
              <w:start w:w="120" w:type="dxa"/>
              <w:bottom w:w="80" w:type="dxa"/>
              <w:end w:w="120" w:type="dxa"/>
            </w:tcMar>
            <w:vAlign w:val="top"/>
          </w:tcPr>
          <w:p>
            <w:pPr>
              <w:spacing w:after="0"/>
            </w:pPr>
            <w:r>
              <w:rPr>
                <w:sz w:val="15"/>
              </w:rPr>
            </w:r>
            <w:hyperlink r:id="rId14">
              <w:r>
                <w:rPr>
                  <w:color w:val="2E74B5"/>
                  <w:u w:val="single"/>
                  <w:sz w:val="18"/>
                </w:rPr>
                <w:t>T1</w:t>
              </w:r>
            </w:hyperlink>
            <w:r>
              <w:rPr>
                <w:rFonts w:ascii="Calibri" w:hAnsi="Calibri"/>
                <w:b w:val="0"/>
                <w:i w:val="0"/>
                <w:sz w:val="15"/>
              </w:rPr>
              <w:t xml:space="preserve">, </w:t>
            </w:r>
            <w:hyperlink r:id="rId15">
              <w:r>
                <w:rPr>
                  <w:color w:val="2E74B5"/>
                  <w:u w:val="single"/>
                  <w:sz w:val="18"/>
                </w:rPr>
                <w:t>U1</w:t>
              </w:r>
            </w:hyperlink>
            <w:r>
              <w:rPr>
                <w:rFonts w:ascii="Calibri" w:hAnsi="Calibri"/>
                <w:b w:val="0"/>
                <w:i w:val="0"/>
                <w:sz w:val="15"/>
              </w:rPr>
              <w:t xml:space="preserve">, </w:t>
            </w:r>
            <w:hyperlink r:id="rId26">
              <w:r>
                <w:rPr>
                  <w:color w:val="2E74B5"/>
                  <w:u w:val="single"/>
                  <w:sz w:val="18"/>
                </w:rPr>
                <w:t>M2</w:t>
              </w:r>
            </w:hyperlink>
            <w:r>
              <w:rPr>
                <w:rFonts w:ascii="Calibri" w:hAnsi="Calibri"/>
                <w:b w:val="0"/>
                <w:i w:val="0"/>
                <w:sz w:val="15"/>
              </w:rPr>
              <w:t xml:space="preserve">, </w:t>
            </w:r>
            <w:hyperlink r:id="rId21">
              <w:r>
                <w:rPr>
                  <w:color w:val="2E74B5"/>
                  <w:u w:val="single"/>
                  <w:sz w:val="18"/>
                </w:rPr>
                <w:t>C1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Titan 37 maps to Power 31; full Bayesian calculation was public by 2005 and independently on Math StackExchange in 2015.</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32</w:t>
            </w:r>
          </w:p>
        </w:tc>
        <w:tc>
          <w:tcPr>
            <w:tcW w:type="dxa" w:w="2600"/>
            <w:tcMar>
              <w:top w:w="80" w:type="dxa"/>
              <w:start w:w="120" w:type="dxa"/>
              <w:bottom w:w="80" w:type="dxa"/>
              <w:end w:w="120" w:type="dxa"/>
            </w:tcMar>
            <w:vAlign w:val="top"/>
          </w:tcPr>
          <w:p>
            <w:pPr>
              <w:spacing w:after="0"/>
            </w:pPr>
            <w:r>
              <w:rPr>
                <w:rFonts w:ascii="Calibri" w:hAnsi="Calibri"/>
                <w:b w:val="0"/>
                <w:i w:val="0"/>
                <w:sz w:val="16"/>
              </w:rPr>
              <w:t>visual sequence item 32</w:t>
            </w:r>
          </w:p>
        </w:tc>
        <w:tc>
          <w:tcPr>
            <w:tcW w:type="dxa" w:w="1800"/>
            <w:tcMar>
              <w:top w:w="80" w:type="dxa"/>
              <w:start w:w="120" w:type="dxa"/>
              <w:bottom w:w="80" w:type="dxa"/>
              <w:end w:w="120" w:type="dxa"/>
            </w:tcMar>
            <w:vAlign w:val="top"/>
          </w:tcPr>
          <w:p>
            <w:pPr>
              <w:spacing w:after="0"/>
            </w:pPr>
            <w:r>
              <w:rPr>
                <w:rFonts w:ascii="Calibri" w:hAnsi="Calibri"/>
                <w:b w:val="0"/>
                <w:i w:val="0"/>
                <w:sz w:val="16"/>
              </w:rPr>
              <w:t>Exact image + decisive rule</w:t>
            </w:r>
          </w:p>
        </w:tc>
        <w:tc>
          <w:tcPr>
            <w:tcW w:type="dxa" w:w="1100"/>
            <w:tcMar>
              <w:top w:w="80" w:type="dxa"/>
              <w:start w:w="120" w:type="dxa"/>
              <w:bottom w:w="80" w:type="dxa"/>
              <w:end w:w="120" w:type="dxa"/>
            </w:tcMar>
            <w:vAlign w:val="top"/>
          </w:tcPr>
          <w:p>
            <w:pPr>
              <w:spacing w:after="0"/>
            </w:pPr>
            <w:r>
              <w:rPr>
                <w:sz w:val="15"/>
              </w:rPr>
            </w:r>
            <w:hyperlink r:id="rId27">
              <w:r>
                <w:rPr>
                  <w:color w:val="2E74B5"/>
                  <w:u w:val="single"/>
                  <w:sz w:val="18"/>
                </w:rPr>
                <w:t>R3</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Image identified as Power 32; comment states that three Xs move in fixed patterns and describes the output.</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33</w:t>
            </w:r>
          </w:p>
        </w:tc>
        <w:tc>
          <w:tcPr>
            <w:tcW w:type="dxa" w:w="2600"/>
            <w:tcMar>
              <w:top w:w="80" w:type="dxa"/>
              <w:start w:w="120" w:type="dxa"/>
              <w:bottom w:w="80" w:type="dxa"/>
              <w:end w:w="120" w:type="dxa"/>
            </w:tcMar>
            <w:vAlign w:val="top"/>
          </w:tcPr>
          <w:p>
            <w:pPr>
              <w:spacing w:after="0"/>
            </w:pPr>
            <w:r>
              <w:rPr>
                <w:rFonts w:ascii="Calibri" w:hAnsi="Calibri"/>
                <w:b w:val="0"/>
                <w:i w:val="0"/>
                <w:sz w:val="16"/>
              </w:rPr>
              <w:t>visual sequence item 33</w:t>
            </w:r>
          </w:p>
        </w:tc>
        <w:tc>
          <w:tcPr>
            <w:tcW w:type="dxa" w:w="1800"/>
            <w:tcMar>
              <w:top w:w="80" w:type="dxa"/>
              <w:start w:w="120" w:type="dxa"/>
              <w:bottom w:w="80" w:type="dxa"/>
              <w:end w:w="120" w:type="dxa"/>
            </w:tcMar>
            <w:vAlign w:val="top"/>
          </w:tcPr>
          <w:p>
            <w:pPr>
              <w:spacing w:after="0"/>
            </w:pPr>
            <w:r>
              <w:rPr>
                <w:rFonts w:ascii="Calibri" w:hAnsi="Calibri"/>
                <w:b w:val="0"/>
                <w:i w:val="0"/>
                <w:sz w:val="16"/>
              </w:rPr>
              <w:t>No substantive match found</w:t>
            </w:r>
          </w:p>
        </w:tc>
        <w:tc>
          <w:tcPr>
            <w:tcW w:type="dxa" w:w="1100"/>
            <w:tcMar>
              <w:top w:w="80" w:type="dxa"/>
              <w:start w:w="120" w:type="dxa"/>
              <w:bottom w:w="80" w:type="dxa"/>
              <w:end w:w="120" w:type="dxa"/>
            </w:tcMar>
            <w:vAlign w:val="top"/>
          </w:tcPr>
          <w:p>
            <w:pPr>
              <w:spacing w:after="0"/>
            </w:pPr>
            <w:r>
              <w:rPr>
                <w:sz w:val="15"/>
              </w:rPr>
            </w:r>
            <w:hyperlink r:id="rId29">
              <w:r>
                <w:rPr>
                  <w:color w:val="2E74B5"/>
                  <w:u w:val="single"/>
                  <w:sz w:val="18"/>
                </w:rPr>
                <w:t>O1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No public answer/hint match located; image-only items are less searchable.</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34</w:t>
            </w:r>
          </w:p>
        </w:tc>
        <w:tc>
          <w:tcPr>
            <w:tcW w:type="dxa" w:w="2600"/>
            <w:tcMar>
              <w:top w:w="80" w:type="dxa"/>
              <w:start w:w="120" w:type="dxa"/>
              <w:bottom w:w="80" w:type="dxa"/>
              <w:end w:w="120" w:type="dxa"/>
            </w:tcMar>
            <w:vAlign w:val="top"/>
          </w:tcPr>
          <w:p>
            <w:pPr>
              <w:spacing w:after="0"/>
            </w:pPr>
            <w:r>
              <w:rPr>
                <w:rFonts w:ascii="Calibri" w:hAnsi="Calibri"/>
                <w:b w:val="0"/>
                <w:i w:val="0"/>
                <w:sz w:val="16"/>
              </w:rPr>
              <w:t>visual sequence item 34</w:t>
            </w:r>
          </w:p>
        </w:tc>
        <w:tc>
          <w:tcPr>
            <w:tcW w:type="dxa" w:w="1800"/>
            <w:tcMar>
              <w:top w:w="80" w:type="dxa"/>
              <w:start w:w="120" w:type="dxa"/>
              <w:bottom w:w="80" w:type="dxa"/>
              <w:end w:w="120" w:type="dxa"/>
            </w:tcMar>
            <w:vAlign w:val="top"/>
          </w:tcPr>
          <w:p>
            <w:pPr>
              <w:spacing w:after="0"/>
            </w:pPr>
            <w:r>
              <w:rPr>
                <w:rFonts w:ascii="Calibri" w:hAnsi="Calibri"/>
                <w:b w:val="0"/>
                <w:i w:val="0"/>
                <w:sz w:val="16"/>
              </w:rPr>
              <w:t>No substantive match found</w:t>
            </w:r>
          </w:p>
        </w:tc>
        <w:tc>
          <w:tcPr>
            <w:tcW w:type="dxa" w:w="1100"/>
            <w:tcMar>
              <w:top w:w="80" w:type="dxa"/>
              <w:start w:w="120" w:type="dxa"/>
              <w:bottom w:w="80" w:type="dxa"/>
              <w:end w:w="120" w:type="dxa"/>
            </w:tcMar>
            <w:vAlign w:val="top"/>
          </w:tcPr>
          <w:p>
            <w:pPr>
              <w:spacing w:after="0"/>
            </w:pPr>
            <w:r>
              <w:rPr>
                <w:sz w:val="15"/>
              </w:rPr>
            </w:r>
            <w:hyperlink r:id="rId29">
              <w:r>
                <w:rPr>
                  <w:color w:val="2E74B5"/>
                  <w:u w:val="single"/>
                  <w:sz w:val="18"/>
                </w:rPr>
                <w:t>O1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No public answer/hint match located; image-only items are less searchable.</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35</w:t>
            </w:r>
          </w:p>
        </w:tc>
        <w:tc>
          <w:tcPr>
            <w:tcW w:type="dxa" w:w="2600"/>
            <w:tcMar>
              <w:top w:w="80" w:type="dxa"/>
              <w:start w:w="120" w:type="dxa"/>
              <w:bottom w:w="80" w:type="dxa"/>
              <w:end w:w="120" w:type="dxa"/>
            </w:tcMar>
            <w:vAlign w:val="top"/>
          </w:tcPr>
          <w:p>
            <w:pPr>
              <w:spacing w:after="0"/>
            </w:pPr>
            <w:r>
              <w:rPr>
                <w:rFonts w:ascii="Calibri" w:hAnsi="Calibri"/>
                <w:b w:val="0"/>
                <w:i w:val="0"/>
                <w:sz w:val="16"/>
              </w:rPr>
              <w:t>visual sequence item 35</w:t>
            </w:r>
          </w:p>
        </w:tc>
        <w:tc>
          <w:tcPr>
            <w:tcW w:type="dxa" w:w="1800"/>
            <w:tcMar>
              <w:top w:w="80" w:type="dxa"/>
              <w:start w:w="120" w:type="dxa"/>
              <w:bottom w:w="80" w:type="dxa"/>
              <w:end w:w="120" w:type="dxa"/>
            </w:tcMar>
            <w:vAlign w:val="top"/>
          </w:tcPr>
          <w:p>
            <w:pPr>
              <w:spacing w:after="0"/>
            </w:pPr>
            <w:r>
              <w:rPr>
                <w:rFonts w:ascii="Calibri" w:hAnsi="Calibri"/>
                <w:b w:val="0"/>
                <w:i w:val="0"/>
                <w:sz w:val="16"/>
              </w:rPr>
              <w:t>No substantive match found</w:t>
            </w:r>
          </w:p>
        </w:tc>
        <w:tc>
          <w:tcPr>
            <w:tcW w:type="dxa" w:w="1100"/>
            <w:tcMar>
              <w:top w:w="80" w:type="dxa"/>
              <w:start w:w="120" w:type="dxa"/>
              <w:bottom w:w="80" w:type="dxa"/>
              <w:end w:w="120" w:type="dxa"/>
            </w:tcMar>
            <w:vAlign w:val="top"/>
          </w:tcPr>
          <w:p>
            <w:pPr>
              <w:spacing w:after="0"/>
            </w:pPr>
            <w:r>
              <w:rPr>
                <w:sz w:val="15"/>
              </w:rPr>
            </w:r>
            <w:hyperlink r:id="rId29">
              <w:r>
                <w:rPr>
                  <w:color w:val="2E74B5"/>
                  <w:u w:val="single"/>
                  <w:sz w:val="18"/>
                </w:rPr>
                <w:t>O1</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No public answer/hint match located; image-only items are less searchable.</w:t>
            </w:r>
          </w:p>
        </w:tc>
        <w:tc>
          <w:tcPr>
            <w:tcW w:type="dxa" w:w="1100"/>
            <w:tcMar>
              <w:top w:w="80" w:type="dxa"/>
              <w:start w:w="120" w:type="dxa"/>
              <w:bottom w:w="80" w:type="dxa"/>
              <w:end w:w="120" w:type="dxa"/>
            </w:tcMar>
            <w:vAlign w:val="top"/>
            <w:shd w:fill="E2F0D9"/>
          </w:tcPr>
          <w:p>
            <w:pPr>
              <w:spacing w:after="0"/>
            </w:pPr>
            <w:r>
              <w:rPr>
                <w:rFonts w:ascii="Calibri" w:hAnsi="Calibri"/>
                <w:b w:val="0"/>
                <w:i w:val="0"/>
                <w:sz w:val="16"/>
              </w:rPr>
              <w:t>Low</w:t>
            </w:r>
          </w:p>
        </w:tc>
      </w:tr>
      <w:tr>
        <w:trPr>
          <w:cantSplit w:val="true"/>
        </w:trPr>
        <w:tc>
          <w:tcPr>
            <w:tcW w:type="dxa" w:w="500"/>
            <w:tcMar>
              <w:top w:w="80" w:type="dxa"/>
              <w:start w:w="120" w:type="dxa"/>
              <w:bottom w:w="80" w:type="dxa"/>
              <w:end w:w="120" w:type="dxa"/>
            </w:tcMar>
            <w:vAlign w:val="top"/>
          </w:tcPr>
          <w:p>
            <w:pPr>
              <w:spacing w:after="0"/>
            </w:pPr>
            <w:r>
              <w:rPr>
                <w:rFonts w:ascii="Calibri" w:hAnsi="Calibri"/>
                <w:b w:val="0"/>
                <w:i w:val="0"/>
                <w:sz w:val="16"/>
              </w:rPr>
              <w:t>36</w:t>
            </w:r>
          </w:p>
        </w:tc>
        <w:tc>
          <w:tcPr>
            <w:tcW w:type="dxa" w:w="2600"/>
            <w:tcMar>
              <w:top w:w="80" w:type="dxa"/>
              <w:start w:w="120" w:type="dxa"/>
              <w:bottom w:w="80" w:type="dxa"/>
              <w:end w:w="120" w:type="dxa"/>
            </w:tcMar>
            <w:vAlign w:val="top"/>
          </w:tcPr>
          <w:p>
            <w:pPr>
              <w:spacing w:after="0"/>
            </w:pPr>
            <w:r>
              <w:rPr>
                <w:rFonts w:ascii="Calibri" w:hAnsi="Calibri"/>
                <w:b w:val="0"/>
                <w:i w:val="0"/>
                <w:sz w:val="16"/>
              </w:rPr>
              <w:t>moving-player panel sequence</w:t>
            </w:r>
          </w:p>
        </w:tc>
        <w:tc>
          <w:tcPr>
            <w:tcW w:type="dxa" w:w="1800"/>
            <w:tcMar>
              <w:top w:w="80" w:type="dxa"/>
              <w:start w:w="120" w:type="dxa"/>
              <w:bottom w:w="80" w:type="dxa"/>
              <w:end w:w="120" w:type="dxa"/>
            </w:tcMar>
            <w:vAlign w:val="top"/>
          </w:tcPr>
          <w:p>
            <w:pPr>
              <w:spacing w:after="0"/>
            </w:pPr>
            <w:r>
              <w:rPr>
                <w:rFonts w:ascii="Calibri" w:hAnsi="Calibri"/>
                <w:b w:val="0"/>
                <w:i w:val="0"/>
                <w:sz w:val="16"/>
              </w:rPr>
              <w:t>Exact image + substantial hint</w:t>
            </w:r>
          </w:p>
        </w:tc>
        <w:tc>
          <w:tcPr>
            <w:tcW w:type="dxa" w:w="1100"/>
            <w:tcMar>
              <w:top w:w="80" w:type="dxa"/>
              <w:start w:w="120" w:type="dxa"/>
              <w:bottom w:w="80" w:type="dxa"/>
              <w:end w:w="120" w:type="dxa"/>
            </w:tcMar>
            <w:vAlign w:val="top"/>
          </w:tcPr>
          <w:p>
            <w:pPr>
              <w:spacing w:after="0"/>
            </w:pPr>
            <w:r>
              <w:rPr>
                <w:sz w:val="15"/>
              </w:rPr>
            </w:r>
            <w:hyperlink r:id="rId28">
              <w:r>
                <w:rPr>
                  <w:color w:val="2E74B5"/>
                  <w:u w:val="single"/>
                  <w:sz w:val="18"/>
                </w:rPr>
                <w:t>U4</w:t>
              </w:r>
            </w:hyperlink>
          </w:p>
        </w:tc>
        <w:tc>
          <w:tcPr>
            <w:tcW w:type="dxa" w:w="6600"/>
            <w:tcMar>
              <w:top w:w="80" w:type="dxa"/>
              <w:start w:w="120" w:type="dxa"/>
              <w:bottom w:w="80" w:type="dxa"/>
              <w:end w:w="120" w:type="dxa"/>
            </w:tcMar>
            <w:vAlign w:val="top"/>
          </w:tcPr>
          <w:p>
            <w:pPr>
              <w:spacing w:after="0"/>
            </w:pPr>
            <w:r>
              <w:rPr>
                <w:rFonts w:ascii="Calibri" w:hAnsi="Calibri"/>
                <w:b w:val="0"/>
                <w:i w:val="0"/>
                <w:sz w:val="16"/>
              </w:rPr>
              <w:t>Explicitly identified as Power 36; public hint says every player moves between panels.</w:t>
            </w:r>
          </w:p>
        </w:tc>
        <w:tc>
          <w:tcPr>
            <w:tcW w:type="dxa" w:w="1100"/>
            <w:tcMar>
              <w:top w:w="80" w:type="dxa"/>
              <w:start w:w="120" w:type="dxa"/>
              <w:bottom w:w="80" w:type="dxa"/>
              <w:end w:w="120" w:type="dxa"/>
            </w:tcMar>
            <w:vAlign w:val="top"/>
            <w:shd w:fill="FCE4D6"/>
          </w:tcPr>
          <w:p>
            <w:pPr>
              <w:spacing w:after="0"/>
            </w:pPr>
            <w:r>
              <w:rPr>
                <w:rFonts w:ascii="Calibri" w:hAnsi="Calibri"/>
                <w:b w:val="0"/>
                <w:i w:val="0"/>
                <w:sz w:val="16"/>
              </w:rPr>
              <w:t>High</w:t>
            </w:r>
          </w:p>
        </w:tc>
      </w:tr>
    </w:tbl>
    <w:p>
      <w:r>
        <w:br w:type="page"/>
      </w:r>
    </w:p>
    <w:p>
      <w:pPr>
        <w:pStyle w:val="Heading1"/>
      </w:pPr>
      <w:r>
        <w:t>Appendix B — Source register</w:t>
      </w:r>
    </w:p>
    <w:p>
      <w:pPr>
        <w:spacing w:after="100"/>
      </w:pPr>
      <w:r>
        <w:t>The review prioritized primary/official publications and dated public discussions. Short excerpts establish the nature of the match; posted numerical results are omitted.</w:t>
      </w:r>
    </w:p>
    <w:tbl>
      <w:tblPr>
        <w:tblStyle w:val="TableGrid"/>
        <w:tblW w:type="dxa" w:w="12700"/>
        <w:jc w:val="center"/>
        <w:tblLayout w:type="fixed"/>
        <w:tblLook w:firstColumn="1" w:firstRow="1" w:lastColumn="0" w:lastRow="0" w:noHBand="0" w:noVBand="1" w:val="04A0"/>
      </w:tblPr>
      <w:tblGrid>
        <w:gridCol w:w="3513"/>
        <w:gridCol w:w="3513"/>
        <w:gridCol w:w="3513"/>
        <w:gridCol w:w="3513"/>
      </w:tblGrid>
      <w:tr>
        <w:trPr>
          <w:tblHeader w:val="true"/>
          <w:cantSplit w:val="true"/>
        </w:trPr>
        <w:tc>
          <w:tcPr>
            <w:tcW w:type="dxa" w:w="600"/>
            <w:shd w:fill="F2F4F7"/>
            <w:tcMar>
              <w:top w:w="80" w:type="dxa"/>
              <w:start w:w="120" w:type="dxa"/>
              <w:bottom w:w="80" w:type="dxa"/>
              <w:end w:w="120" w:type="dxa"/>
            </w:tcMar>
            <w:vAlign w:val="center"/>
          </w:tcPr>
          <w:p>
            <w:pPr>
              <w:spacing w:after="0"/>
            </w:pPr>
            <w:r>
              <w:rPr>
                <w:rFonts w:ascii="Calibri" w:hAnsi="Calibri"/>
                <w:b/>
                <w:i w:val="0"/>
                <w:color w:val="1F4E79"/>
                <w:sz w:val="16"/>
              </w:rPr>
              <w:t>ID</w:t>
            </w:r>
          </w:p>
        </w:tc>
        <w:tc>
          <w:tcPr>
            <w:tcW w:type="dxa" w:w="1800"/>
            <w:shd w:fill="F2F4F7"/>
            <w:tcMar>
              <w:top w:w="80" w:type="dxa"/>
              <w:start w:w="120" w:type="dxa"/>
              <w:bottom w:w="80" w:type="dxa"/>
              <w:end w:w="120" w:type="dxa"/>
            </w:tcMar>
            <w:vAlign w:val="center"/>
          </w:tcPr>
          <w:p>
            <w:pPr>
              <w:spacing w:after="0"/>
            </w:pPr>
            <w:r>
              <w:rPr>
                <w:rFonts w:ascii="Calibri" w:hAnsi="Calibri"/>
                <w:b/>
                <w:i w:val="0"/>
                <w:color w:val="1F4E79"/>
                <w:sz w:val="16"/>
              </w:rPr>
              <w:t>Date</w:t>
            </w:r>
          </w:p>
        </w:tc>
        <w:tc>
          <w:tcPr>
            <w:tcW w:type="dxa" w:w="3500"/>
            <w:shd w:fill="F2F4F7"/>
            <w:tcMar>
              <w:top w:w="80" w:type="dxa"/>
              <w:start w:w="120" w:type="dxa"/>
              <w:bottom w:w="80" w:type="dxa"/>
              <w:end w:w="120" w:type="dxa"/>
            </w:tcMar>
            <w:vAlign w:val="center"/>
          </w:tcPr>
          <w:p>
            <w:pPr>
              <w:spacing w:after="0"/>
            </w:pPr>
            <w:r>
              <w:rPr>
                <w:rFonts w:ascii="Calibri" w:hAnsi="Calibri"/>
                <w:b/>
                <w:i w:val="0"/>
                <w:color w:val="1F4E79"/>
                <w:sz w:val="16"/>
              </w:rPr>
              <w:t>Source</w:t>
            </w:r>
          </w:p>
        </w:tc>
        <w:tc>
          <w:tcPr>
            <w:tcW w:type="dxa" w:w="6800"/>
            <w:shd w:fill="F2F4F7"/>
            <w:tcMar>
              <w:top w:w="80" w:type="dxa"/>
              <w:start w:w="120" w:type="dxa"/>
              <w:bottom w:w="80" w:type="dxa"/>
              <w:end w:w="120" w:type="dxa"/>
            </w:tcMar>
            <w:vAlign w:val="center"/>
          </w:tcPr>
          <w:p>
            <w:pPr>
              <w:spacing w:after="0"/>
            </w:pPr>
            <w:r>
              <w:rPr>
                <w:rFonts w:ascii="Calibri" w:hAnsi="Calibri"/>
                <w:b/>
                <w:i w:val="0"/>
                <w:color w:val="1F4E79"/>
                <w:sz w:val="16"/>
              </w:rPr>
              <w:t>Verification note / short excerpt</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O1</w:t>
            </w:r>
          </w:p>
        </w:tc>
        <w:tc>
          <w:tcPr>
            <w:tcW w:type="dxa" w:w="1800"/>
            <w:tcMar>
              <w:top w:w="80" w:type="dxa"/>
              <w:start w:w="120" w:type="dxa"/>
              <w:bottom w:w="80" w:type="dxa"/>
              <w:end w:w="120" w:type="dxa"/>
            </w:tcMar>
            <w:vAlign w:val="top"/>
          </w:tcPr>
          <w:p>
            <w:pPr>
              <w:spacing w:after="0"/>
            </w:pPr>
            <w:r>
              <w:rPr>
                <w:rFonts w:ascii="Calibri" w:hAnsi="Calibri"/>
                <w:b w:val="0"/>
                <w:i w:val="0"/>
                <w:sz w:val="16"/>
              </w:rPr>
              <w:t>current page; accessed 3 Aug 2026</w:t>
            </w:r>
          </w:p>
        </w:tc>
        <w:tc>
          <w:tcPr>
            <w:tcW w:type="dxa" w:w="3500"/>
            <w:tcMar>
              <w:top w:w="80" w:type="dxa"/>
              <w:start w:w="120" w:type="dxa"/>
              <w:bottom w:w="80" w:type="dxa"/>
              <w:end w:w="120" w:type="dxa"/>
            </w:tcMar>
            <w:vAlign w:val="top"/>
          </w:tcPr>
          <w:p>
            <w:pPr>
              <w:spacing w:after="0"/>
            </w:pPr>
            <w:r/>
            <w:hyperlink r:id="rId29">
              <w:r>
                <w:rPr>
                  <w:color w:val="2E74B5"/>
                  <w:u w:val="single"/>
                  <w:sz w:val="18"/>
                </w:rPr>
                <w:t>The Hoeflin Power Test (official current test)</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Primary baseline for numbering and wording. It states that the 36-item test is based on the Mega, Titan and Ultra tests and asks users not to share answers publicly.</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O2</w:t>
            </w:r>
          </w:p>
        </w:tc>
        <w:tc>
          <w:tcPr>
            <w:tcW w:type="dxa" w:w="1800"/>
            <w:tcMar>
              <w:top w:w="80" w:type="dxa"/>
              <w:start w:w="120" w:type="dxa"/>
              <w:bottom w:w="80" w:type="dxa"/>
              <w:end w:w="120" w:type="dxa"/>
            </w:tcMar>
            <w:vAlign w:val="top"/>
          </w:tcPr>
          <w:p>
            <w:pPr>
              <w:spacing w:after="0"/>
            </w:pPr>
            <w:r>
              <w:rPr>
                <w:rFonts w:ascii="Calibri" w:hAnsi="Calibri"/>
                <w:b w:val="0"/>
                <w:i w:val="0"/>
                <w:sz w:val="16"/>
              </w:rPr>
              <w:t>July 1996</w:t>
            </w:r>
          </w:p>
        </w:tc>
        <w:tc>
          <w:tcPr>
            <w:tcW w:type="dxa" w:w="3500"/>
            <w:tcMar>
              <w:top w:w="80" w:type="dxa"/>
              <w:start w:w="120" w:type="dxa"/>
              <w:bottom w:w="80" w:type="dxa"/>
              <w:end w:w="120" w:type="dxa"/>
            </w:tcMar>
            <w:vAlign w:val="top"/>
          </w:tcPr>
          <w:p>
            <w:pPr>
              <w:spacing w:after="0"/>
            </w:pPr>
            <w:r/>
            <w:hyperlink r:id="rId33">
              <w:r>
                <w:rPr>
                  <w:color w:val="2E74B5"/>
                  <w:u w:val="single"/>
                  <w:sz w:val="18"/>
                </w:rPr>
                <w:t>Noesis, no. 121 (original Power Test publication)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Primary historical publication of the full Power Test. The cover and dated correspondence establish July 1996; isolated OCR footers in copies can be misleading.</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T1</w:t>
            </w:r>
          </w:p>
        </w:tc>
        <w:tc>
          <w:tcPr>
            <w:tcW w:type="dxa" w:w="1800"/>
            <w:tcMar>
              <w:top w:w="80" w:type="dxa"/>
              <w:start w:w="120" w:type="dxa"/>
              <w:bottom w:w="80" w:type="dxa"/>
              <w:end w:w="120" w:type="dxa"/>
            </w:tcMar>
            <w:vAlign w:val="top"/>
          </w:tcPr>
          <w:p>
            <w:pPr>
              <w:spacing w:after="0"/>
            </w:pPr>
            <w:r>
              <w:rPr>
                <w:rFonts w:ascii="Calibri" w:hAnsi="Calibri"/>
                <w:b w:val="0"/>
                <w:i w:val="0"/>
                <w:sz w:val="16"/>
              </w:rPr>
              <w:t>Titan published Apr 1990; mirror date not established</w:t>
            </w:r>
          </w:p>
        </w:tc>
        <w:tc>
          <w:tcPr>
            <w:tcW w:type="dxa" w:w="3500"/>
            <w:tcMar>
              <w:top w:w="80" w:type="dxa"/>
              <w:start w:w="120" w:type="dxa"/>
              <w:bottom w:w="80" w:type="dxa"/>
              <w:end w:w="120" w:type="dxa"/>
            </w:tcMar>
            <w:vAlign w:val="top"/>
          </w:tcPr>
          <w:p>
            <w:pPr>
              <w:spacing w:after="0"/>
            </w:pPr>
            <w:r/>
            <w:hyperlink r:id="rId14">
              <w:r>
                <w:rPr>
                  <w:color w:val="2E74B5"/>
                  <w:u w:val="single"/>
                  <w:sz w:val="18"/>
                </w:rPr>
                <w:t>Mega Society Titan Test mirror</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Searchable mirror explicitly cross-references Titan items to Power items 2, 4, 7, 10, 11, 13, 19, 21–25, 27, 29 and 31. Full download/sign-in restrictions apply.</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U0</w:t>
            </w:r>
          </w:p>
        </w:tc>
        <w:tc>
          <w:tcPr>
            <w:tcW w:type="dxa" w:w="1800"/>
            <w:tcMar>
              <w:top w:w="80" w:type="dxa"/>
              <w:start w:w="120" w:type="dxa"/>
              <w:bottom w:w="80" w:type="dxa"/>
              <w:end w:w="120" w:type="dxa"/>
            </w:tcMar>
            <w:vAlign w:val="top"/>
          </w:tcPr>
          <w:p>
            <w:pPr>
              <w:spacing w:after="0"/>
            </w:pPr>
            <w:r>
              <w:rPr>
                <w:rFonts w:ascii="Calibri" w:hAnsi="Calibri"/>
                <w:b w:val="0"/>
                <w:i w:val="0"/>
                <w:sz w:val="16"/>
              </w:rPr>
              <w:t>1 Apr 2005</w:t>
            </w:r>
          </w:p>
        </w:tc>
        <w:tc>
          <w:tcPr>
            <w:tcW w:type="dxa" w:w="3500"/>
            <w:tcMar>
              <w:top w:w="80" w:type="dxa"/>
              <w:start w:w="120" w:type="dxa"/>
              <w:bottom w:w="80" w:type="dxa"/>
              <w:end w:w="120" w:type="dxa"/>
            </w:tcMar>
            <w:vAlign w:val="top"/>
          </w:tcPr>
          <w:p>
            <w:pPr>
              <w:spacing w:after="0"/>
            </w:pPr>
            <w:r/>
            <w:hyperlink r:id="rId34">
              <w:r>
                <w:rPr>
                  <w:color w:val="2E74B5"/>
                  <w:u w:val="single"/>
                  <w:sz w:val="18"/>
                </w:rPr>
                <w:t>rec.puzzles — announced publication of Titan answers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Historical context for the later answer thread; not used alone to classify an item.</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U1</w:t>
            </w:r>
          </w:p>
        </w:tc>
        <w:tc>
          <w:tcPr>
            <w:tcW w:type="dxa" w:w="1800"/>
            <w:tcMar>
              <w:top w:w="80" w:type="dxa"/>
              <w:start w:w="120" w:type="dxa"/>
              <w:bottom w:w="80" w:type="dxa"/>
              <w:end w:w="120" w:type="dxa"/>
            </w:tcMar>
            <w:vAlign w:val="top"/>
          </w:tcPr>
          <w:p>
            <w:pPr>
              <w:spacing w:after="0"/>
            </w:pPr>
            <w:r>
              <w:rPr>
                <w:rFonts w:ascii="Calibri" w:hAnsi="Calibri"/>
                <w:b w:val="0"/>
                <w:i w:val="0"/>
                <w:sz w:val="16"/>
              </w:rPr>
              <w:t>3 Oct 2005 onward</w:t>
            </w:r>
          </w:p>
        </w:tc>
        <w:tc>
          <w:tcPr>
            <w:tcW w:type="dxa" w:w="3500"/>
            <w:tcMar>
              <w:top w:w="80" w:type="dxa"/>
              <w:start w:w="120" w:type="dxa"/>
              <w:bottom w:w="80" w:type="dxa"/>
              <w:end w:w="120" w:type="dxa"/>
            </w:tcMar>
            <w:vAlign w:val="top"/>
          </w:tcPr>
          <w:p>
            <w:pPr>
              <w:spacing w:after="0"/>
            </w:pPr>
            <w:r/>
            <w:hyperlink r:id="rId15">
              <w:r>
                <w:rPr>
                  <w:color w:val="2E74B5"/>
                  <w:u w:val="single"/>
                  <w:sz w:val="18"/>
                </w:rPr>
                <w:t>rec.puzzles — “Updated answers to the Titan Test”</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Public candidate-answer list with later explanations. Opening request: “Don’t forget to explain your answer, the more detail the better.” Numerical results are deliberately omitted here.</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N1</w:t>
            </w:r>
          </w:p>
        </w:tc>
        <w:tc>
          <w:tcPr>
            <w:tcW w:type="dxa" w:w="1800"/>
            <w:tcMar>
              <w:top w:w="80" w:type="dxa"/>
              <w:start w:w="120" w:type="dxa"/>
              <w:bottom w:w="80" w:type="dxa"/>
              <w:end w:w="120" w:type="dxa"/>
            </w:tcMar>
            <w:vAlign w:val="top"/>
          </w:tcPr>
          <w:p>
            <w:pPr>
              <w:spacing w:after="0"/>
            </w:pPr>
            <w:r>
              <w:rPr>
                <w:rFonts w:ascii="Calibri" w:hAnsi="Calibri"/>
                <w:b w:val="0"/>
                <w:i w:val="0"/>
                <w:sz w:val="16"/>
              </w:rPr>
              <w:t>mirror of Oct 2005 thread</w:t>
            </w:r>
          </w:p>
        </w:tc>
        <w:tc>
          <w:tcPr>
            <w:tcW w:type="dxa" w:w="3500"/>
            <w:tcMar>
              <w:top w:w="80" w:type="dxa"/>
              <w:start w:w="120" w:type="dxa"/>
              <w:bottom w:w="80" w:type="dxa"/>
              <w:end w:w="120" w:type="dxa"/>
            </w:tcMar>
            <w:vAlign w:val="top"/>
          </w:tcPr>
          <w:p>
            <w:pPr>
              <w:spacing w:after="0"/>
            </w:pPr>
            <w:r/>
            <w:hyperlink r:id="rId35">
              <w:r>
                <w:rPr>
                  <w:color w:val="2E74B5"/>
                  <w:u w:val="single"/>
                  <w:sz w:val="18"/>
                </w:rPr>
                <w:t>Narkive mirror — Titan answer discussion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Backup mirror of Usenet answer material.</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U2</w:t>
            </w:r>
          </w:p>
        </w:tc>
        <w:tc>
          <w:tcPr>
            <w:tcW w:type="dxa" w:w="1800"/>
            <w:tcMar>
              <w:top w:w="80" w:type="dxa"/>
              <w:start w:w="120" w:type="dxa"/>
              <w:bottom w:w="80" w:type="dxa"/>
              <w:end w:w="120" w:type="dxa"/>
            </w:tcMar>
            <w:vAlign w:val="top"/>
          </w:tcPr>
          <w:p>
            <w:pPr>
              <w:spacing w:after="0"/>
            </w:pPr>
            <w:r>
              <w:rPr>
                <w:rFonts w:ascii="Calibri" w:hAnsi="Calibri"/>
                <w:b w:val="0"/>
                <w:i w:val="0"/>
                <w:sz w:val="16"/>
              </w:rPr>
              <w:t>3–16 Nov 2001</w:t>
            </w:r>
          </w:p>
        </w:tc>
        <w:tc>
          <w:tcPr>
            <w:tcW w:type="dxa" w:w="3500"/>
            <w:tcMar>
              <w:top w:w="80" w:type="dxa"/>
              <w:start w:w="120" w:type="dxa"/>
              <w:bottom w:w="80" w:type="dxa"/>
              <w:end w:w="120" w:type="dxa"/>
            </w:tcMar>
            <w:vAlign w:val="top"/>
          </w:tcPr>
          <w:p>
            <w:pPr>
              <w:spacing w:after="0"/>
            </w:pPr>
            <w:r/>
            <w:hyperlink r:id="rId11">
              <w:r>
                <w:rPr>
                  <w:color w:val="2E74B5"/>
                  <w:u w:val="single"/>
                  <w:sz w:val="18"/>
                </w:rPr>
                <w:t>rec.puzzles — “Painting a cube”</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8 prompt, explicit identification as a Power Test item, followed by case analysis and a group-action/Pólya-style derivation. Excerpt: “a problem appearing on the hoeflin power test. a definite no-no.”</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U3</w:t>
            </w:r>
          </w:p>
        </w:tc>
        <w:tc>
          <w:tcPr>
            <w:tcW w:type="dxa" w:w="1800"/>
            <w:tcMar>
              <w:top w:w="80" w:type="dxa"/>
              <w:start w:w="120" w:type="dxa"/>
              <w:bottom w:w="80" w:type="dxa"/>
              <w:end w:w="120" w:type="dxa"/>
            </w:tcMar>
            <w:vAlign w:val="top"/>
          </w:tcPr>
          <w:p>
            <w:pPr>
              <w:spacing w:after="0"/>
            </w:pPr>
            <w:r>
              <w:rPr>
                <w:rFonts w:ascii="Calibri" w:hAnsi="Calibri"/>
                <w:b w:val="0"/>
                <w:i w:val="0"/>
                <w:sz w:val="16"/>
              </w:rPr>
              <w:t>9 Jul–15 Aug 2009</w:t>
            </w:r>
          </w:p>
        </w:tc>
        <w:tc>
          <w:tcPr>
            <w:tcW w:type="dxa" w:w="3500"/>
            <w:tcMar>
              <w:top w:w="80" w:type="dxa"/>
              <w:start w:w="120" w:type="dxa"/>
              <w:bottom w:w="80" w:type="dxa"/>
              <w:end w:w="120" w:type="dxa"/>
            </w:tcMar>
            <w:vAlign w:val="top"/>
          </w:tcPr>
          <w:p>
            <w:pPr>
              <w:spacing w:after="0"/>
            </w:pPr>
            <w:r/>
            <w:hyperlink r:id="rId12">
              <w:r>
                <w:rPr>
                  <w:color w:val="2E74B5"/>
                  <w:u w:val="single"/>
                  <w:sz w:val="18"/>
                </w:rPr>
                <w:t>rec.puzzles — “Mega Test” discussion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Item-specific discussion of Power items 1, 8, 9 and 20. Includes constructions, a sixth-view candidate, and for item 20 a maximum proof using cube classes V/E/F/C. Numerical results are omitted.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U4</w:t>
            </w:r>
          </w:p>
        </w:tc>
        <w:tc>
          <w:tcPr>
            <w:tcW w:type="dxa" w:w="1800"/>
            <w:tcMar>
              <w:top w:w="80" w:type="dxa"/>
              <w:start w:w="120" w:type="dxa"/>
              <w:bottom w:w="80" w:type="dxa"/>
              <w:end w:w="120" w:type="dxa"/>
            </w:tcMar>
            <w:vAlign w:val="top"/>
          </w:tcPr>
          <w:p>
            <w:pPr>
              <w:spacing w:after="0"/>
            </w:pPr>
            <w:r>
              <w:rPr>
                <w:rFonts w:ascii="Calibri" w:hAnsi="Calibri"/>
                <w:b w:val="0"/>
                <w:i w:val="0"/>
                <w:sz w:val="16"/>
              </w:rPr>
              <w:t>15 Aug 2009</w:t>
            </w:r>
          </w:p>
        </w:tc>
        <w:tc>
          <w:tcPr>
            <w:tcW w:type="dxa" w:w="3500"/>
            <w:tcMar>
              <w:top w:w="80" w:type="dxa"/>
              <w:start w:w="120" w:type="dxa"/>
              <w:bottom w:w="80" w:type="dxa"/>
              <w:end w:w="120" w:type="dxa"/>
            </w:tcMar>
            <w:vAlign w:val="top"/>
          </w:tcPr>
          <w:p>
            <w:pPr>
              <w:spacing w:after="0"/>
            </w:pPr>
            <w:r/>
            <w:hyperlink r:id="rId28">
              <w:r>
                <w:rPr>
                  <w:color w:val="2E74B5"/>
                  <w:u w:val="single"/>
                  <w:sz w:val="18"/>
                </w:rPr>
                <w:t>rec.puzzles — “Difficult analogies”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Explicitly maps the image to Power item 36 and gives the decisive hint: “between each panel, each player has moved.”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R1</w:t>
            </w:r>
          </w:p>
        </w:tc>
        <w:tc>
          <w:tcPr>
            <w:tcW w:type="dxa" w:w="1800"/>
            <w:tcMar>
              <w:top w:w="80" w:type="dxa"/>
              <w:start w:w="120" w:type="dxa"/>
              <w:bottom w:w="80" w:type="dxa"/>
              <w:end w:w="120" w:type="dxa"/>
            </w:tcMar>
            <w:vAlign w:val="top"/>
          </w:tcPr>
          <w:p>
            <w:pPr>
              <w:spacing w:after="0"/>
            </w:pPr>
            <w:r>
              <w:rPr>
                <w:rFonts w:ascii="Calibri" w:hAnsi="Calibri"/>
                <w:b w:val="0"/>
                <w:i w:val="0"/>
                <w:sz w:val="16"/>
              </w:rPr>
              <w:t>24 Dec 2009</w:t>
            </w:r>
          </w:p>
        </w:tc>
        <w:tc>
          <w:tcPr>
            <w:tcW w:type="dxa" w:w="3500"/>
            <w:tcMar>
              <w:top w:w="80" w:type="dxa"/>
              <w:start w:w="120" w:type="dxa"/>
              <w:bottom w:w="80" w:type="dxa"/>
              <w:end w:w="120" w:type="dxa"/>
            </w:tcMar>
            <w:vAlign w:val="top"/>
          </w:tcPr>
          <w:p>
            <w:pPr>
              <w:spacing w:after="0"/>
            </w:pPr>
            <w:r/>
            <w:hyperlink r:id="rId17">
              <w:r>
                <w:rPr>
                  <w:color w:val="2E74B5"/>
                  <w:u w:val="single"/>
                  <w:sz w:val="18"/>
                </w:rPr>
                <w:t>Reddit r/math — Hoeflin Power Test discussion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Links labelled Answer 5, 9, 14, 18, 19 and 21; comments expose the balanced-ternary route for item 14 and summation route for item 18. Imgur answer images now require JavaScript and were not substantively inspected.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F1</w:t>
            </w:r>
          </w:p>
        </w:tc>
        <w:tc>
          <w:tcPr>
            <w:tcW w:type="dxa" w:w="1800"/>
            <w:tcMar>
              <w:top w:w="80" w:type="dxa"/>
              <w:start w:w="120" w:type="dxa"/>
              <w:bottom w:w="80" w:type="dxa"/>
              <w:end w:w="120" w:type="dxa"/>
            </w:tcMar>
            <w:vAlign w:val="top"/>
          </w:tcPr>
          <w:p>
            <w:pPr>
              <w:spacing w:after="0"/>
            </w:pPr>
            <w:r>
              <w:rPr>
                <w:rFonts w:ascii="Calibri" w:hAnsi="Calibri"/>
                <w:b w:val="0"/>
                <w:i w:val="0"/>
                <w:sz w:val="16"/>
              </w:rPr>
              <w:t>29 Jan 2009 onward</w:t>
            </w:r>
          </w:p>
        </w:tc>
        <w:tc>
          <w:tcPr>
            <w:tcW w:type="dxa" w:w="3500"/>
            <w:tcMar>
              <w:top w:w="80" w:type="dxa"/>
              <w:start w:w="120" w:type="dxa"/>
              <w:bottom w:w="80" w:type="dxa"/>
              <w:end w:w="120" w:type="dxa"/>
            </w:tcMar>
            <w:vAlign w:val="top"/>
          </w:tcPr>
          <w:p>
            <w:pPr>
              <w:spacing w:after="0"/>
            </w:pPr>
            <w:r/>
            <w:hyperlink r:id="rId13">
              <w:r>
                <w:rPr>
                  <w:color w:val="2E74B5"/>
                  <w:u w:val="single"/>
                  <w:sz w:val="18"/>
                </w:rPr>
                <w:t>Physics Forums — octahedron colour-pattern problem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7 wording with candidate total, classification and symmetry discussion. Correctness is debated, but answer-level exposure is clear.</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B1</w:t>
            </w:r>
          </w:p>
        </w:tc>
        <w:tc>
          <w:tcPr>
            <w:tcW w:type="dxa" w:w="1800"/>
            <w:tcMar>
              <w:top w:w="80" w:type="dxa"/>
              <w:start w:w="120" w:type="dxa"/>
              <w:bottom w:w="80" w:type="dxa"/>
              <w:end w:w="120" w:type="dxa"/>
            </w:tcMar>
            <w:vAlign w:val="top"/>
          </w:tcPr>
          <w:p>
            <w:pPr>
              <w:spacing w:after="0"/>
            </w:pPr>
            <w:r>
              <w:rPr>
                <w:rFonts w:ascii="Calibri" w:hAnsi="Calibri"/>
                <w:b w:val="0"/>
                <w:i w:val="0"/>
                <w:sz w:val="16"/>
              </w:rPr>
              <w:t>13 Aug 2007</w:t>
            </w:r>
          </w:p>
        </w:tc>
        <w:tc>
          <w:tcPr>
            <w:tcW w:type="dxa" w:w="3500"/>
            <w:tcMar>
              <w:top w:w="80" w:type="dxa"/>
              <w:start w:w="120" w:type="dxa"/>
              <w:bottom w:w="80" w:type="dxa"/>
              <w:end w:w="120" w:type="dxa"/>
            </w:tcMar>
            <w:vAlign w:val="top"/>
          </w:tcPr>
          <w:p>
            <w:pPr>
              <w:spacing w:after="0"/>
            </w:pPr>
            <w:r/>
            <w:hyperlink r:id="rId16">
              <w:r>
                <w:rPr>
                  <w:color w:val="2E74B5"/>
                  <w:u w:val="single"/>
                  <w:sz w:val="18"/>
                </w:rPr>
                <w:t>Metamerist — “Hard puzzles like butter”</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12 prompt and explicit identification as Power Test no. 12; poster says the answer was not known.</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R2</w:t>
            </w:r>
          </w:p>
        </w:tc>
        <w:tc>
          <w:tcPr>
            <w:tcW w:type="dxa" w:w="1800"/>
            <w:tcMar>
              <w:top w:w="80" w:type="dxa"/>
              <w:start w:w="120" w:type="dxa"/>
              <w:bottom w:w="80" w:type="dxa"/>
              <w:end w:w="120" w:type="dxa"/>
            </w:tcMar>
            <w:vAlign w:val="top"/>
          </w:tcPr>
          <w:p>
            <w:pPr>
              <w:spacing w:after="0"/>
            </w:pPr>
            <w:r>
              <w:rPr>
                <w:rFonts w:ascii="Calibri" w:hAnsi="Calibri"/>
                <w:b w:val="0"/>
                <w:i w:val="0"/>
                <w:sz w:val="16"/>
              </w:rPr>
              <w:t>Dec 2018</w:t>
            </w:r>
          </w:p>
        </w:tc>
        <w:tc>
          <w:tcPr>
            <w:tcW w:type="dxa" w:w="3500"/>
            <w:tcMar>
              <w:top w:w="80" w:type="dxa"/>
              <w:start w:w="120" w:type="dxa"/>
              <w:bottom w:w="80" w:type="dxa"/>
              <w:end w:w="120" w:type="dxa"/>
            </w:tcMar>
            <w:vAlign w:val="top"/>
          </w:tcPr>
          <w:p>
            <w:pPr>
              <w:spacing w:after="0"/>
            </w:pPr>
            <w:r/>
            <w:hyperlink r:id="rId18">
              <w:r>
                <w:rPr>
                  <w:color w:val="2E74B5"/>
                  <w:u w:val="single"/>
                  <w:sz w:val="18"/>
                </w:rPr>
                <w:t>Reddit r/slatestarcodex — Mega Test discussion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Quotes item 12 and identifies the Steiner maximum-regions theorem; also points to Burnside/Pólya methods for items 5–8 and 29–30 and Hamiltonian-cycle reasoning for 21–24.</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M1</w:t>
            </w:r>
          </w:p>
        </w:tc>
        <w:tc>
          <w:tcPr>
            <w:tcW w:type="dxa" w:w="1800"/>
            <w:tcMar>
              <w:top w:w="80" w:type="dxa"/>
              <w:start w:w="120" w:type="dxa"/>
              <w:bottom w:w="80" w:type="dxa"/>
              <w:end w:w="120" w:type="dxa"/>
            </w:tcMar>
            <w:vAlign w:val="top"/>
          </w:tcPr>
          <w:p>
            <w:pPr>
              <w:spacing w:after="0"/>
            </w:pPr>
            <w:r>
              <w:rPr>
                <w:rFonts w:ascii="Calibri" w:hAnsi="Calibri"/>
                <w:b w:val="0"/>
                <w:i w:val="0"/>
                <w:sz w:val="16"/>
              </w:rPr>
              <w:t>6 Oct 2020</w:t>
            </w:r>
          </w:p>
        </w:tc>
        <w:tc>
          <w:tcPr>
            <w:tcW w:type="dxa" w:w="3500"/>
            <w:tcMar>
              <w:top w:w="80" w:type="dxa"/>
              <w:start w:w="120" w:type="dxa"/>
              <w:bottom w:w="80" w:type="dxa"/>
              <w:end w:w="120" w:type="dxa"/>
            </w:tcMar>
            <w:vAlign w:val="top"/>
          </w:tcPr>
          <w:p>
            <w:pPr>
              <w:spacing w:after="0"/>
            </w:pPr>
            <w:r/>
            <w:hyperlink r:id="rId19">
              <w:r>
                <w:rPr>
                  <w:color w:val="2E74B5"/>
                  <w:u w:val="single"/>
                  <w:sz w:val="18"/>
                </w:rPr>
                <w:t>The Math Doctors — cutting space with n planes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Accessible exposition of the exact theorem/formula needed for the five-plane cutting problem. It is a generic theorem source, not a Power-specific answer page.</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F2</w:t>
            </w:r>
          </w:p>
        </w:tc>
        <w:tc>
          <w:tcPr>
            <w:tcW w:type="dxa" w:w="1800"/>
            <w:tcMar>
              <w:top w:w="80" w:type="dxa"/>
              <w:start w:w="120" w:type="dxa"/>
              <w:bottom w:w="80" w:type="dxa"/>
              <w:end w:w="120" w:type="dxa"/>
            </w:tcMar>
            <w:vAlign w:val="top"/>
          </w:tcPr>
          <w:p>
            <w:pPr>
              <w:spacing w:after="0"/>
            </w:pPr>
            <w:r>
              <w:rPr>
                <w:rFonts w:ascii="Calibri" w:hAnsi="Calibri"/>
                <w:b w:val="0"/>
                <w:i w:val="0"/>
                <w:sz w:val="16"/>
              </w:rPr>
              <w:t>20 Jan 2018</w:t>
            </w:r>
          </w:p>
        </w:tc>
        <w:tc>
          <w:tcPr>
            <w:tcW w:type="dxa" w:w="3500"/>
            <w:tcMar>
              <w:top w:w="80" w:type="dxa"/>
              <w:start w:w="120" w:type="dxa"/>
              <w:bottom w:w="80" w:type="dxa"/>
              <w:end w:w="120" w:type="dxa"/>
            </w:tcMar>
            <w:vAlign w:val="top"/>
          </w:tcPr>
          <w:p>
            <w:pPr>
              <w:spacing w:after="0"/>
            </w:pPr>
            <w:r/>
            <w:hyperlink r:id="rId20">
              <w:r>
                <w:rPr>
                  <w:color w:val="2E74B5"/>
                  <w:u w:val="single"/>
                  <w:sz w:val="18"/>
                </w:rPr>
                <w:t>FreeMathHelp — barge/lock displacement question</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distinctive wording indexed with a proposed final number (“[numerical result omitted] barrels”). Direct page fetch timed out during this review.</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C1</w:t>
            </w:r>
          </w:p>
        </w:tc>
        <w:tc>
          <w:tcPr>
            <w:tcW w:type="dxa" w:w="1800"/>
            <w:tcMar>
              <w:top w:w="80" w:type="dxa"/>
              <w:start w:w="120" w:type="dxa"/>
              <w:bottom w:w="80" w:type="dxa"/>
              <w:end w:w="120" w:type="dxa"/>
            </w:tcMar>
            <w:vAlign w:val="top"/>
          </w:tcPr>
          <w:p>
            <w:pPr>
              <w:spacing w:after="0"/>
            </w:pPr>
            <w:r>
              <w:rPr>
                <w:rFonts w:ascii="Calibri" w:hAnsi="Calibri"/>
                <w:b w:val="0"/>
                <w:i w:val="0"/>
                <w:sz w:val="16"/>
              </w:rPr>
              <w:t>18 Sep 2008</w:t>
            </w:r>
          </w:p>
        </w:tc>
        <w:tc>
          <w:tcPr>
            <w:tcW w:type="dxa" w:w="3500"/>
            <w:tcMar>
              <w:top w:w="80" w:type="dxa"/>
              <w:start w:w="120" w:type="dxa"/>
              <w:bottom w:w="80" w:type="dxa"/>
              <w:end w:w="120" w:type="dxa"/>
            </w:tcMar>
            <w:vAlign w:val="top"/>
          </w:tcPr>
          <w:p>
            <w:pPr>
              <w:spacing w:after="0"/>
            </w:pPr>
            <w:r/>
            <w:hyperlink r:id="rId21">
              <w:r>
                <w:rPr>
                  <w:color w:val="2E74B5"/>
                  <w:u w:val="single"/>
                  <w:sz w:val="18"/>
                </w:rPr>
                <w:t>CNBlogs repost of Power Test problems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prompt reposts for items including 15–18, 20, 22 and 31; it asks readers not to publish answers and to send them privately. Used as prompt-exposure corroboration only.</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F3</w:t>
            </w:r>
          </w:p>
        </w:tc>
        <w:tc>
          <w:tcPr>
            <w:tcW w:type="dxa" w:w="1800"/>
            <w:tcMar>
              <w:top w:w="80" w:type="dxa"/>
              <w:start w:w="120" w:type="dxa"/>
              <w:bottom w:w="80" w:type="dxa"/>
              <w:end w:w="120" w:type="dxa"/>
            </w:tcMar>
            <w:vAlign w:val="top"/>
          </w:tcPr>
          <w:p>
            <w:pPr>
              <w:spacing w:after="0"/>
            </w:pPr>
            <w:r>
              <w:rPr>
                <w:rFonts w:ascii="Calibri" w:hAnsi="Calibri"/>
                <w:b w:val="0"/>
                <w:i w:val="0"/>
                <w:sz w:val="16"/>
              </w:rPr>
              <w:t>30 Mar 2021</w:t>
            </w:r>
          </w:p>
        </w:tc>
        <w:tc>
          <w:tcPr>
            <w:tcW w:type="dxa" w:w="3500"/>
            <w:tcMar>
              <w:top w:w="80" w:type="dxa"/>
              <w:start w:w="120" w:type="dxa"/>
              <w:bottom w:w="80" w:type="dxa"/>
              <w:end w:w="120" w:type="dxa"/>
            </w:tcMar>
            <w:vAlign w:val="top"/>
          </w:tcPr>
          <w:p>
            <w:pPr>
              <w:spacing w:after="0"/>
            </w:pPr>
            <w:r/>
            <w:hyperlink r:id="rId32">
              <w:r>
                <w:rPr>
                  <w:color w:val="2E74B5"/>
                  <w:u w:val="single"/>
                  <w:sz w:val="18"/>
                </w:rPr>
                <w:t>FreeMathHelp — dodecahedral craps problem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17 prompt located in search indexing, but no accessible worked solution was verified; direct page fetch timed out.</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H1</w:t>
            </w:r>
          </w:p>
        </w:tc>
        <w:tc>
          <w:tcPr>
            <w:tcW w:type="dxa" w:w="1800"/>
            <w:tcMar>
              <w:top w:w="80" w:type="dxa"/>
              <w:start w:w="120" w:type="dxa"/>
              <w:bottom w:w="80" w:type="dxa"/>
              <w:end w:w="120" w:type="dxa"/>
            </w:tcMar>
            <w:vAlign w:val="top"/>
          </w:tcPr>
          <w:p>
            <w:pPr>
              <w:spacing w:after="0"/>
            </w:pPr>
            <w:r>
              <w:rPr>
                <w:rFonts w:ascii="Calibri" w:hAnsi="Calibri"/>
                <w:b w:val="0"/>
                <w:i w:val="0"/>
                <w:sz w:val="16"/>
              </w:rPr>
              <w:t>2–3 Jun 2017</w:t>
            </w:r>
          </w:p>
        </w:tc>
        <w:tc>
          <w:tcPr>
            <w:tcW w:type="dxa" w:w="3500"/>
            <w:tcMar>
              <w:top w:w="80" w:type="dxa"/>
              <w:start w:w="120" w:type="dxa"/>
              <w:bottom w:w="80" w:type="dxa"/>
              <w:end w:w="120" w:type="dxa"/>
            </w:tcMar>
            <w:vAlign w:val="top"/>
          </w:tcPr>
          <w:p>
            <w:pPr>
              <w:spacing w:after="0"/>
            </w:pPr>
            <w:r/>
            <w:hyperlink r:id="rId24">
              <w:r>
                <w:rPr>
                  <w:color w:val="2E74B5"/>
                  <w:u w:val="single"/>
                  <w:sz w:val="18"/>
                </w:rPr>
                <w:t>Hacker News — three-cube problem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26 prompt plus detailed region-counting attempts decomposing exterior regions, pairwise intersections and the central region. Candidate total is omitted.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G1</w:t>
            </w:r>
          </w:p>
        </w:tc>
        <w:tc>
          <w:tcPr>
            <w:tcW w:type="dxa" w:w="1800"/>
            <w:tcMar>
              <w:top w:w="80" w:type="dxa"/>
              <w:start w:w="120" w:type="dxa"/>
              <w:bottom w:w="80" w:type="dxa"/>
              <w:end w:w="120" w:type="dxa"/>
            </w:tcMar>
            <w:vAlign w:val="top"/>
          </w:tcPr>
          <w:p>
            <w:pPr>
              <w:spacing w:after="0"/>
            </w:pPr>
            <w:r>
              <w:rPr>
                <w:rFonts w:ascii="Calibri" w:hAnsi="Calibri"/>
                <w:b w:val="0"/>
                <w:i w:val="0"/>
                <w:sz w:val="16"/>
              </w:rPr>
              <w:t>7 Aug 2006</w:t>
            </w:r>
          </w:p>
        </w:tc>
        <w:tc>
          <w:tcPr>
            <w:tcW w:type="dxa" w:w="3500"/>
            <w:tcMar>
              <w:top w:w="80" w:type="dxa"/>
              <w:start w:w="120" w:type="dxa"/>
              <w:bottom w:w="80" w:type="dxa"/>
              <w:end w:w="120" w:type="dxa"/>
            </w:tcMar>
            <w:vAlign w:val="top"/>
          </w:tcPr>
          <w:p>
            <w:pPr>
              <w:spacing w:after="0"/>
            </w:pPr>
            <w:r/>
            <w:hyperlink r:id="rId23">
              <w:r>
                <w:rPr>
                  <w:color w:val="2E74B5"/>
                  <w:u w:val="single"/>
                  <w:sz w:val="18"/>
                </w:rPr>
                <w:t>GameDev.net — three interpenetrating cubes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26 prompt with multiple competing totals and geometric arguments. Strong exposure evidence, not an authenticated key.</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P1</w:t>
            </w:r>
          </w:p>
        </w:tc>
        <w:tc>
          <w:tcPr>
            <w:tcW w:type="dxa" w:w="1800"/>
            <w:tcMar>
              <w:top w:w="80" w:type="dxa"/>
              <w:start w:w="120" w:type="dxa"/>
              <w:bottom w:w="80" w:type="dxa"/>
              <w:end w:w="120" w:type="dxa"/>
            </w:tcMar>
            <w:vAlign w:val="top"/>
          </w:tcPr>
          <w:p>
            <w:pPr>
              <w:spacing w:after="0"/>
            </w:pPr>
            <w:r>
              <w:rPr>
                <w:rFonts w:ascii="Calibri" w:hAnsi="Calibri"/>
                <w:b w:val="0"/>
                <w:i w:val="0"/>
                <w:sz w:val="16"/>
              </w:rPr>
              <w:t>10 Dec 2019</w:t>
            </w:r>
          </w:p>
        </w:tc>
        <w:tc>
          <w:tcPr>
            <w:tcW w:type="dxa" w:w="3500"/>
            <w:tcMar>
              <w:top w:w="80" w:type="dxa"/>
              <w:start w:w="120" w:type="dxa"/>
              <w:bottom w:w="80" w:type="dxa"/>
              <w:end w:w="120" w:type="dxa"/>
            </w:tcMar>
            <w:vAlign w:val="top"/>
          </w:tcPr>
          <w:p>
            <w:pPr>
              <w:spacing w:after="0"/>
            </w:pPr>
            <w:r/>
            <w:hyperlink r:id="rId25">
              <w:r>
                <w:rPr>
                  <w:color w:val="2E74B5"/>
                  <w:u w:val="single"/>
                  <w:sz w:val="18"/>
                </w:rPr>
                <w:t>Puzzling Stack Exchange — three-cube problem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prompt and a pointer to the Hacker News solution discussion.</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M2</w:t>
            </w:r>
          </w:p>
        </w:tc>
        <w:tc>
          <w:tcPr>
            <w:tcW w:type="dxa" w:w="1800"/>
            <w:tcMar>
              <w:top w:w="80" w:type="dxa"/>
              <w:start w:w="120" w:type="dxa"/>
              <w:bottom w:w="80" w:type="dxa"/>
              <w:end w:w="120" w:type="dxa"/>
            </w:tcMar>
            <w:vAlign w:val="top"/>
          </w:tcPr>
          <w:p>
            <w:pPr>
              <w:spacing w:after="0"/>
            </w:pPr>
            <w:r>
              <w:rPr>
                <w:rFonts w:ascii="Calibri" w:hAnsi="Calibri"/>
                <w:b w:val="0"/>
                <w:i w:val="0"/>
                <w:sz w:val="16"/>
              </w:rPr>
              <w:t>23 Jul 2015</w:t>
            </w:r>
          </w:p>
        </w:tc>
        <w:tc>
          <w:tcPr>
            <w:tcW w:type="dxa" w:w="3500"/>
            <w:tcMar>
              <w:top w:w="80" w:type="dxa"/>
              <w:start w:w="120" w:type="dxa"/>
              <w:bottom w:w="80" w:type="dxa"/>
              <w:end w:w="120" w:type="dxa"/>
            </w:tcMar>
            <w:vAlign w:val="top"/>
          </w:tcPr>
          <w:p>
            <w:pPr>
              <w:spacing w:after="0"/>
            </w:pPr>
            <w:r/>
            <w:hyperlink r:id="rId26">
              <w:r>
                <w:rPr>
                  <w:color w:val="2E74B5"/>
                  <w:u w:val="single"/>
                  <w:sz w:val="18"/>
                </w:rPr>
                <w:t>Mathematics Stack Exchange — ten-marble Bayes problem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Exact item 31 problem with complete Bayesian derivations in public answers. Final percentage is omitted.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R3</w:t>
            </w:r>
          </w:p>
        </w:tc>
        <w:tc>
          <w:tcPr>
            <w:tcW w:type="dxa" w:w="1800"/>
            <w:tcMar>
              <w:top w:w="80" w:type="dxa"/>
              <w:start w:w="120" w:type="dxa"/>
              <w:bottom w:w="80" w:type="dxa"/>
              <w:end w:w="120" w:type="dxa"/>
            </w:tcMar>
            <w:vAlign w:val="top"/>
          </w:tcPr>
          <w:p>
            <w:pPr>
              <w:spacing w:after="0"/>
            </w:pPr>
            <w:r>
              <w:rPr>
                <w:rFonts w:ascii="Calibri" w:hAnsi="Calibri"/>
                <w:b w:val="0"/>
                <w:i w:val="0"/>
                <w:sz w:val="16"/>
              </w:rPr>
              <w:t>8 Dec 2024</w:t>
            </w:r>
          </w:p>
        </w:tc>
        <w:tc>
          <w:tcPr>
            <w:tcW w:type="dxa" w:w="3500"/>
            <w:tcMar>
              <w:top w:w="80" w:type="dxa"/>
              <w:start w:w="120" w:type="dxa"/>
              <w:bottom w:w="80" w:type="dxa"/>
              <w:end w:w="120" w:type="dxa"/>
            </w:tcMar>
            <w:vAlign w:val="top"/>
          </w:tcPr>
          <w:p>
            <w:pPr>
              <w:spacing w:after="0"/>
            </w:pPr>
            <w:r/>
            <w:hyperlink r:id="rId27">
              <w:r>
                <w:rPr>
                  <w:color w:val="2E74B5"/>
                  <w:u w:val="single"/>
                  <w:sz w:val="18"/>
                </w:rPr>
                <w:t>Reddit r/cognitiveTesting — sequence puzzles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Rotated image explicitly identified as Power item 32; comment gives the operative rule: “there’s 3 Xs each moving in a set pattern…” and describes the resulting pattern.</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W1</w:t>
            </w:r>
          </w:p>
        </w:tc>
        <w:tc>
          <w:tcPr>
            <w:tcW w:type="dxa" w:w="1800"/>
            <w:tcMar>
              <w:top w:w="80" w:type="dxa"/>
              <w:start w:w="120" w:type="dxa"/>
              <w:bottom w:w="80" w:type="dxa"/>
              <w:end w:w="120" w:type="dxa"/>
            </w:tcMar>
            <w:vAlign w:val="top"/>
          </w:tcPr>
          <w:p>
            <w:pPr>
              <w:spacing w:after="0"/>
            </w:pPr>
            <w:r>
              <w:rPr>
                <w:rFonts w:ascii="Calibri" w:hAnsi="Calibri"/>
                <w:b w:val="0"/>
                <w:i w:val="0"/>
                <w:sz w:val="16"/>
              </w:rPr>
              <w:t>27–28 Nov 1988</w:t>
            </w:r>
          </w:p>
        </w:tc>
        <w:tc>
          <w:tcPr>
            <w:tcW w:type="dxa" w:w="3500"/>
            <w:tcMar>
              <w:top w:w="80" w:type="dxa"/>
              <w:start w:w="120" w:type="dxa"/>
              <w:bottom w:w="80" w:type="dxa"/>
              <w:end w:w="120" w:type="dxa"/>
            </w:tcMar>
            <w:vAlign w:val="top"/>
          </w:tcPr>
          <w:p>
            <w:pPr>
              <w:spacing w:after="0"/>
            </w:pPr>
            <w:r/>
            <w:hyperlink r:id="rId22">
              <w:r>
                <w:rPr>
                  <w:color w:val="2E74B5"/>
                  <w:u w:val="single"/>
                  <w:sz w:val="18"/>
                </w:rPr>
                <w:t>The Washington Post — “Is 176 IQ Enough in White House?”</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Historic public exposure: quotes the three-interpenetrating-cubes problem and paraphrases the five-cuts cube-of-butter problem. It supplies prompts, not solutions.</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A1</w:t>
            </w:r>
          </w:p>
        </w:tc>
        <w:tc>
          <w:tcPr>
            <w:tcW w:type="dxa" w:w="1800"/>
            <w:tcMar>
              <w:top w:w="80" w:type="dxa"/>
              <w:start w:w="120" w:type="dxa"/>
              <w:bottom w:w="80" w:type="dxa"/>
              <w:end w:w="120" w:type="dxa"/>
            </w:tcMar>
            <w:vAlign w:val="top"/>
          </w:tcPr>
          <w:p>
            <w:pPr>
              <w:spacing w:after="0"/>
            </w:pPr>
            <w:r>
              <w:rPr>
                <w:rFonts w:ascii="Calibri" w:hAnsi="Calibri"/>
                <w:b w:val="0"/>
                <w:i w:val="0"/>
                <w:sz w:val="16"/>
              </w:rPr>
              <w:t>2010</w:t>
            </w:r>
          </w:p>
        </w:tc>
        <w:tc>
          <w:tcPr>
            <w:tcW w:type="dxa" w:w="3500"/>
            <w:tcMar>
              <w:top w:w="80" w:type="dxa"/>
              <w:start w:w="120" w:type="dxa"/>
              <w:bottom w:w="80" w:type="dxa"/>
              <w:end w:w="120" w:type="dxa"/>
            </w:tcMar>
            <w:vAlign w:val="top"/>
          </w:tcPr>
          <w:p>
            <w:pPr>
              <w:spacing w:after="0"/>
            </w:pPr>
            <w:r/>
            <w:hyperlink r:id="rId30">
              <w:r>
                <w:rPr>
                  <w:color w:val="2E74B5"/>
                  <w:u w:val="single"/>
                  <w:sz w:val="18"/>
                </w:rPr>
                <w:t>E. O’Shea — “Bachet’s Problem: as few weights to weigh them all”</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Open academic treatment of the centuries-old two-pan balance problem and ternary solution. Supports classification of item 14 as a common classic, not an exact test leak by itself.</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I1</w:t>
            </w:r>
          </w:p>
        </w:tc>
        <w:tc>
          <w:tcPr>
            <w:tcW w:type="dxa" w:w="1800"/>
            <w:tcMar>
              <w:top w:w="80" w:type="dxa"/>
              <w:start w:w="120" w:type="dxa"/>
              <w:bottom w:w="80" w:type="dxa"/>
              <w:end w:w="120" w:type="dxa"/>
            </w:tcMar>
            <w:vAlign w:val="top"/>
          </w:tcPr>
          <w:p>
            <w:pPr>
              <w:spacing w:after="0"/>
            </w:pPr>
            <w:r>
              <w:rPr>
                <w:rFonts w:ascii="Calibri" w:hAnsi="Calibri"/>
                <w:b w:val="0"/>
                <w:i w:val="0"/>
                <w:sz w:val="16"/>
              </w:rPr>
              <w:t>Dec 2018</w:t>
            </w:r>
          </w:p>
        </w:tc>
        <w:tc>
          <w:tcPr>
            <w:tcW w:type="dxa" w:w="3500"/>
            <w:tcMar>
              <w:top w:w="80" w:type="dxa"/>
              <w:start w:w="120" w:type="dxa"/>
              <w:bottom w:w="80" w:type="dxa"/>
              <w:end w:w="120" w:type="dxa"/>
            </w:tcMar>
            <w:vAlign w:val="top"/>
          </w:tcPr>
          <w:p>
            <w:pPr>
              <w:spacing w:after="0"/>
            </w:pPr>
            <w:r/>
            <w:hyperlink r:id="rId31">
              <w:r>
                <w:rPr>
                  <w:color w:val="2E74B5"/>
                  <w:u w:val="single"/>
                  <w:sz w:val="18"/>
                </w:rPr>
                <w:t>S. Bagai — “Balanced Number System”</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Academic exposition of balanced ternary and Bachet’s weights. Correctly relevant to item 14, not item 7 as one uploaded report stated.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D1</w:t>
            </w:r>
          </w:p>
        </w:tc>
        <w:tc>
          <w:tcPr>
            <w:tcW w:type="dxa" w:w="1800"/>
            <w:tcMar>
              <w:top w:w="80" w:type="dxa"/>
              <w:start w:w="120" w:type="dxa"/>
              <w:bottom w:w="80" w:type="dxa"/>
              <w:end w:w="120" w:type="dxa"/>
            </w:tcMar>
            <w:vAlign w:val="top"/>
          </w:tcPr>
          <w:p>
            <w:pPr>
              <w:spacing w:after="0"/>
            </w:pPr>
            <w:r>
              <w:rPr>
                <w:rFonts w:ascii="Calibri" w:hAnsi="Calibri"/>
                <w:b w:val="0"/>
                <w:i w:val="0"/>
                <w:sz w:val="16"/>
              </w:rPr>
              <w:t>29 Apr 2020</w:t>
            </w:r>
          </w:p>
        </w:tc>
        <w:tc>
          <w:tcPr>
            <w:tcW w:type="dxa" w:w="3500"/>
            <w:tcMar>
              <w:top w:w="80" w:type="dxa"/>
              <w:start w:w="120" w:type="dxa"/>
              <w:bottom w:w="80" w:type="dxa"/>
              <w:end w:w="120" w:type="dxa"/>
            </w:tcMar>
            <w:vAlign w:val="top"/>
          </w:tcPr>
          <w:p>
            <w:pPr>
              <w:spacing w:after="0"/>
            </w:pPr>
            <w:r/>
            <w:hyperlink r:id="rId36">
              <w:r>
                <w:rPr>
                  <w:color w:val="2E74B5"/>
                  <w:u w:val="single"/>
                  <w:sz w:val="18"/>
                </w:rPr>
                <w:t>D. Redvaldsen — psychometric discussion of Mega/Titan tests</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Open contextual paper on the tests and their publication history; no direct Power-item answer match retained.</w:t>
            </w:r>
          </w:p>
        </w:tc>
      </w:tr>
      <w:tr>
        <w:trPr>
          <w:cantSplit w:val="true"/>
        </w:trPr>
        <w:tc>
          <w:tcPr>
            <w:tcW w:type="dxa" w:w="600"/>
            <w:tcMar>
              <w:top w:w="80" w:type="dxa"/>
              <w:start w:w="120" w:type="dxa"/>
              <w:bottom w:w="80" w:type="dxa"/>
              <w:end w:w="120" w:type="dxa"/>
            </w:tcMar>
            <w:vAlign w:val="top"/>
          </w:tcPr>
          <w:p>
            <w:pPr>
              <w:spacing w:after="0"/>
            </w:pPr>
            <w:r>
              <w:rPr>
                <w:rFonts w:ascii="Calibri" w:hAnsi="Calibri"/>
                <w:b w:val="0"/>
                <w:i w:val="0"/>
                <w:sz w:val="16"/>
              </w:rPr>
              <w:t>S1</w:t>
            </w:r>
          </w:p>
        </w:tc>
        <w:tc>
          <w:tcPr>
            <w:tcW w:type="dxa" w:w="1800"/>
            <w:tcMar>
              <w:top w:w="80" w:type="dxa"/>
              <w:start w:w="120" w:type="dxa"/>
              <w:bottom w:w="80" w:type="dxa"/>
              <w:end w:w="120" w:type="dxa"/>
            </w:tcMar>
            <w:vAlign w:val="top"/>
          </w:tcPr>
          <w:p>
            <w:pPr>
              <w:spacing w:after="0"/>
            </w:pPr>
            <w:r>
              <w:rPr>
                <w:rFonts w:ascii="Calibri" w:hAnsi="Calibri"/>
                <w:b w:val="0"/>
                <w:i w:val="0"/>
                <w:sz w:val="16"/>
              </w:rPr>
              <w:t>upload date not established</w:t>
            </w:r>
          </w:p>
        </w:tc>
        <w:tc>
          <w:tcPr>
            <w:tcW w:type="dxa" w:w="3500"/>
            <w:tcMar>
              <w:top w:w="80" w:type="dxa"/>
              <w:start w:w="120" w:type="dxa"/>
              <w:bottom w:w="80" w:type="dxa"/>
              <w:end w:w="120" w:type="dxa"/>
            </w:tcMar>
            <w:vAlign w:val="top"/>
          </w:tcPr>
          <w:p>
            <w:pPr>
              <w:spacing w:after="0"/>
            </w:pPr>
            <w:r/>
            <w:hyperlink r:id="rId37">
              <w:r>
                <w:rPr>
                  <w:color w:val="2E74B5"/>
                  <w:u w:val="single"/>
                  <w:sz w:val="18"/>
                </w:rPr>
                <w:t>Scribd — Titan Test solution mirror</w:t>
              </w:r>
            </w:hyperlink>
          </w:p>
        </w:tc>
        <w:tc>
          <w:tcPr>
            <w:tcW w:type="dxa" w:w="6800"/>
            <w:tcMar>
              <w:top w:w="80" w:type="dxa"/>
              <w:start w:w="120" w:type="dxa"/>
              <w:bottom w:w="80" w:type="dxa"/>
              <w:end w:w="120" w:type="dxa"/>
            </w:tcMar>
            <w:vAlign w:val="top"/>
          </w:tcPr>
          <w:p>
            <w:pPr>
              <w:spacing w:after="0"/>
            </w:pPr>
            <w:r>
              <w:rPr>
                <w:rFonts w:ascii="Calibri" w:hAnsi="Calibri"/>
                <w:b w:val="0"/>
                <w:i w:val="0"/>
                <w:sz w:val="16"/>
              </w:rPr>
              <w:t>Secondary mirror encountered; sign-in/download restrictions and uncertain provenance mean it was not used as the sole evidence for any item.</w:t>
            </w:r>
          </w:p>
        </w:tc>
      </w:tr>
    </w:tbl>
    <w:p>
      <w:pPr>
        <w:sectPr>
          <w:pgSz w:w="15840" w:h="12240" w:orient="landscape"/>
          <w:pgMar w:top="835" w:right="893" w:bottom="792" w:left="893" w:header="317" w:footer="360" w:gutter="0"/>
          <w:cols w:space="720"/>
          <w:docGrid w:linePitch="360"/>
        </w:sectPr>
      </w:pPr>
    </w:p>
    <w:p>
      <w:pPr>
        <w:pStyle w:val="Heading1"/>
      </w:pPr>
      <w:r>
        <w:t>Appendix C — Search log, limitations and quality control</w:t>
      </w:r>
    </w:p>
    <w:p>
      <w:pPr>
        <w:pStyle w:val="Heading2"/>
      </w:pPr>
      <w:r>
        <w:t>Search sequence</w:t>
      </w:r>
    </w:p>
    <w:tbl>
      <w:tblPr>
        <w:tblStyle w:val="TableGrid"/>
        <w:tblW w:type="dxa" w:w="9360"/>
        <w:jc w:val="center"/>
        <w:tblLayout w:type="fixed"/>
        <w:tblLook w:firstColumn="1" w:firstRow="1" w:lastColumn="0" w:lastRow="0" w:noHBand="0" w:noVBand="1" w:val="04A0"/>
      </w:tblPr>
      <w:tblGrid>
        <w:gridCol w:w="4968"/>
        <w:gridCol w:w="4968"/>
      </w:tblGrid>
      <w:tr>
        <w:trPr>
          <w:tblHeader w:val="true"/>
          <w:cantSplit w:val="true"/>
        </w:trPr>
        <w:tc>
          <w:tcPr>
            <w:tcW w:type="dxa" w:w="1300"/>
            <w:shd w:fill="F2F4F7"/>
            <w:tcMar>
              <w:top w:w="80" w:type="dxa"/>
              <w:start w:w="120" w:type="dxa"/>
              <w:bottom w:w="80" w:type="dxa"/>
              <w:end w:w="120" w:type="dxa"/>
            </w:tcMar>
            <w:vAlign w:val="center"/>
          </w:tcPr>
          <w:p>
            <w:pPr>
              <w:spacing w:after="0"/>
            </w:pPr>
            <w:r>
              <w:rPr>
                <w:rFonts w:ascii="Calibri" w:hAnsi="Calibri"/>
                <w:b/>
                <w:i w:val="0"/>
                <w:color w:val="1F4E79"/>
                <w:sz w:val="16"/>
              </w:rPr>
              <w:t>Step</w:t>
            </w:r>
          </w:p>
        </w:tc>
        <w:tc>
          <w:tcPr>
            <w:tcW w:type="dxa" w:w="8060"/>
            <w:shd w:fill="F2F4F7"/>
            <w:tcMar>
              <w:top w:w="80" w:type="dxa"/>
              <w:start w:w="120" w:type="dxa"/>
              <w:bottom w:w="80" w:type="dxa"/>
              <w:end w:w="120" w:type="dxa"/>
            </w:tcMar>
            <w:vAlign w:val="center"/>
          </w:tcPr>
          <w:p>
            <w:pPr>
              <w:spacing w:after="0"/>
            </w:pPr>
            <w:r>
              <w:rPr>
                <w:rFonts w:ascii="Calibri" w:hAnsi="Calibri"/>
                <w:b/>
                <w:i w:val="0"/>
                <w:color w:val="1F4E79"/>
                <w:sz w:val="16"/>
              </w:rPr>
              <w:t>Action</w:t>
            </w:r>
          </w:p>
        </w:tc>
      </w:tr>
      <w:tr>
        <w:trPr>
          <w:cantSplit w:val="true"/>
        </w:trPr>
        <w:tc>
          <w:tcPr>
            <w:tcW w:type="dxa" w:w="1300"/>
            <w:tcMar>
              <w:top w:w="80" w:type="dxa"/>
              <w:start w:w="120" w:type="dxa"/>
              <w:bottom w:w="80" w:type="dxa"/>
              <w:end w:w="120" w:type="dxa"/>
            </w:tcMar>
            <w:vAlign w:val="top"/>
          </w:tcPr>
          <w:p>
            <w:pPr>
              <w:spacing w:after="0"/>
            </w:pPr>
            <w:r>
              <w:rPr>
                <w:rFonts w:ascii="Calibri" w:hAnsi="Calibri"/>
                <w:b w:val="0"/>
                <w:i w:val="0"/>
                <w:sz w:val="17"/>
              </w:rPr>
              <w:t>1. Baseline</w:t>
            </w:r>
          </w:p>
        </w:tc>
        <w:tc>
          <w:tcPr>
            <w:tcW w:type="dxa" w:w="8060"/>
            <w:tcMar>
              <w:top w:w="80" w:type="dxa"/>
              <w:start w:w="120" w:type="dxa"/>
              <w:bottom w:w="80" w:type="dxa"/>
              <w:end w:w="120" w:type="dxa"/>
            </w:tcMar>
            <w:vAlign w:val="top"/>
          </w:tcPr>
          <w:p>
            <w:pPr>
              <w:spacing w:after="0"/>
            </w:pPr>
            <w:r>
              <w:rPr>
                <w:rFonts w:ascii="Calibri" w:hAnsi="Calibri"/>
                <w:b w:val="0"/>
                <w:i w:val="0"/>
                <w:sz w:val="17"/>
              </w:rPr>
              <w:t>Captured the official current wording/numbering and the July 1996 Noesis publication.</w:t>
            </w:r>
          </w:p>
        </w:tc>
      </w:tr>
      <w:tr>
        <w:trPr>
          <w:cantSplit w:val="true"/>
        </w:trPr>
        <w:tc>
          <w:tcPr>
            <w:tcW w:type="dxa" w:w="1300"/>
            <w:tcMar>
              <w:top w:w="80" w:type="dxa"/>
              <w:start w:w="120" w:type="dxa"/>
              <w:bottom w:w="80" w:type="dxa"/>
              <w:end w:w="120" w:type="dxa"/>
            </w:tcMar>
            <w:vAlign w:val="top"/>
          </w:tcPr>
          <w:p>
            <w:pPr>
              <w:spacing w:after="0"/>
            </w:pPr>
            <w:r>
              <w:rPr>
                <w:rFonts w:ascii="Calibri" w:hAnsi="Calibri"/>
                <w:b w:val="0"/>
                <w:i w:val="0"/>
                <w:sz w:val="17"/>
              </w:rPr>
              <w:t>2. Reconcile</w:t>
            </w:r>
          </w:p>
        </w:tc>
        <w:tc>
          <w:tcPr>
            <w:tcW w:type="dxa" w:w="8060"/>
            <w:tcMar>
              <w:top w:w="80" w:type="dxa"/>
              <w:start w:w="120" w:type="dxa"/>
              <w:bottom w:w="80" w:type="dxa"/>
              <w:end w:w="120" w:type="dxa"/>
            </w:tcMar>
            <w:vAlign w:val="top"/>
          </w:tcPr>
          <w:p>
            <w:pPr>
              <w:spacing w:after="0"/>
            </w:pPr>
            <w:r>
              <w:rPr>
                <w:rFonts w:ascii="Calibri" w:hAnsi="Calibri"/>
                <w:b w:val="0"/>
                <w:i w:val="0"/>
                <w:sz w:val="17"/>
              </w:rPr>
              <w:t>Compared all uploaded matrices/reports; extracted leads and flagged inconsistencies.</w:t>
            </w:r>
          </w:p>
        </w:tc>
      </w:tr>
      <w:tr>
        <w:trPr>
          <w:cantSplit w:val="true"/>
        </w:trPr>
        <w:tc>
          <w:tcPr>
            <w:tcW w:type="dxa" w:w="1300"/>
            <w:tcMar>
              <w:top w:w="80" w:type="dxa"/>
              <w:start w:w="120" w:type="dxa"/>
              <w:bottom w:w="80" w:type="dxa"/>
              <w:end w:w="120" w:type="dxa"/>
            </w:tcMar>
            <w:vAlign w:val="top"/>
          </w:tcPr>
          <w:p>
            <w:pPr>
              <w:spacing w:after="0"/>
            </w:pPr>
            <w:r>
              <w:rPr>
                <w:rFonts w:ascii="Calibri" w:hAnsi="Calibri"/>
                <w:b w:val="0"/>
                <w:i w:val="0"/>
                <w:sz w:val="17"/>
              </w:rPr>
              <w:t>3. Exact search</w:t>
            </w:r>
          </w:p>
        </w:tc>
        <w:tc>
          <w:tcPr>
            <w:tcW w:type="dxa" w:w="8060"/>
            <w:tcMar>
              <w:top w:w="80" w:type="dxa"/>
              <w:start w:w="120" w:type="dxa"/>
              <w:bottom w:w="80" w:type="dxa"/>
              <w:end w:w="120" w:type="dxa"/>
            </w:tcMar>
            <w:vAlign w:val="top"/>
          </w:tcPr>
          <w:p>
            <w:pPr>
              <w:spacing w:after="0"/>
            </w:pPr>
            <w:r>
              <w:rPr>
                <w:rFonts w:ascii="Calibri" w:hAnsi="Calibri"/>
                <w:b w:val="0"/>
                <w:i w:val="0"/>
                <w:sz w:val="17"/>
              </w:rPr>
              <w:t>Searched distinctive phrases, item numbers and forum/site combinations.</w:t>
            </w:r>
          </w:p>
        </w:tc>
      </w:tr>
      <w:tr>
        <w:trPr>
          <w:cantSplit w:val="true"/>
        </w:trPr>
        <w:tc>
          <w:tcPr>
            <w:tcW w:type="dxa" w:w="1300"/>
            <w:tcMar>
              <w:top w:w="80" w:type="dxa"/>
              <w:start w:w="120" w:type="dxa"/>
              <w:bottom w:w="80" w:type="dxa"/>
              <w:end w:w="120" w:type="dxa"/>
            </w:tcMar>
            <w:vAlign w:val="top"/>
          </w:tcPr>
          <w:p>
            <w:pPr>
              <w:spacing w:after="0"/>
            </w:pPr>
            <w:r>
              <w:rPr>
                <w:rFonts w:ascii="Calibri" w:hAnsi="Calibri"/>
                <w:b w:val="0"/>
                <w:i w:val="0"/>
                <w:sz w:val="17"/>
              </w:rPr>
              <w:t>4. Method search</w:t>
            </w:r>
          </w:p>
        </w:tc>
        <w:tc>
          <w:tcPr>
            <w:tcW w:type="dxa" w:w="8060"/>
            <w:tcMar>
              <w:top w:w="80" w:type="dxa"/>
              <w:start w:w="120" w:type="dxa"/>
              <w:bottom w:w="80" w:type="dxa"/>
              <w:end w:w="120" w:type="dxa"/>
            </w:tcMar>
            <w:vAlign w:val="top"/>
          </w:tcPr>
          <w:p>
            <w:pPr>
              <w:spacing w:after="0"/>
            </w:pPr>
            <w:r>
              <w:rPr>
                <w:rFonts w:ascii="Calibri" w:hAnsi="Calibri"/>
                <w:b w:val="0"/>
                <w:i w:val="0"/>
                <w:sz w:val="17"/>
              </w:rPr>
              <w:t>Searched relevant theorem names and mathematical structures to detect paraphrases/common tropes.</w:t>
            </w:r>
          </w:p>
        </w:tc>
      </w:tr>
      <w:tr>
        <w:trPr>
          <w:cantSplit w:val="true"/>
        </w:trPr>
        <w:tc>
          <w:tcPr>
            <w:tcW w:type="dxa" w:w="1300"/>
            <w:tcMar>
              <w:top w:w="80" w:type="dxa"/>
              <w:start w:w="120" w:type="dxa"/>
              <w:bottom w:w="80" w:type="dxa"/>
              <w:end w:w="120" w:type="dxa"/>
            </w:tcMar>
            <w:vAlign w:val="top"/>
          </w:tcPr>
          <w:p>
            <w:pPr>
              <w:spacing w:after="0"/>
            </w:pPr>
            <w:r>
              <w:rPr>
                <w:rFonts w:ascii="Calibri" w:hAnsi="Calibri"/>
                <w:b w:val="0"/>
                <w:i w:val="0"/>
                <w:sz w:val="17"/>
              </w:rPr>
              <w:t>5. Verify</w:t>
            </w:r>
          </w:p>
        </w:tc>
        <w:tc>
          <w:tcPr>
            <w:tcW w:type="dxa" w:w="8060"/>
            <w:tcMar>
              <w:top w:w="80" w:type="dxa"/>
              <w:start w:w="120" w:type="dxa"/>
              <w:bottom w:w="80" w:type="dxa"/>
              <w:end w:w="120" w:type="dxa"/>
            </w:tcMar>
            <w:vAlign w:val="top"/>
          </w:tcPr>
          <w:p>
            <w:pPr>
              <w:spacing w:after="0"/>
            </w:pPr>
            <w:r>
              <w:rPr>
                <w:rFonts w:ascii="Calibri" w:hAnsi="Calibri"/>
                <w:b w:val="0"/>
                <w:i w:val="0"/>
                <w:sz w:val="17"/>
              </w:rPr>
              <w:t>Re-opened retained sources, checked dates, cross-mapped Titan predecessors, and graded specificity/depth.</w:t>
            </w:r>
          </w:p>
        </w:tc>
      </w:tr>
    </w:tbl>
    <w:p>
      <w:pPr>
        <w:pStyle w:val="Heading2"/>
      </w:pPr>
      <w:r>
        <w:t>Representative queries used</w:t>
      </w:r>
    </w:p>
    <w:tbl>
      <w:tblPr>
        <w:tblStyle w:val="TableGrid"/>
        <w:tblW w:type="dxa" w:w="9360"/>
        <w:jc w:val="center"/>
        <w:tblLayout w:type="fixed"/>
        <w:tblLook w:firstColumn="1" w:firstRow="1" w:lastColumn="0" w:lastRow="0" w:noHBand="0" w:noVBand="1" w:val="04A0"/>
      </w:tblPr>
      <w:tblGrid>
        <w:gridCol w:w="4968"/>
        <w:gridCol w:w="4968"/>
      </w:tblGrid>
      <w:tr>
        <w:trPr>
          <w:tblHeader w:val="true"/>
          <w:cantSplit w:val="true"/>
        </w:trPr>
        <w:tc>
          <w:tcPr>
            <w:tcW w:type="dxa" w:w="4680"/>
            <w:shd w:fill="F2F4F7"/>
            <w:tcMar>
              <w:top w:w="80" w:type="dxa"/>
              <w:start w:w="120" w:type="dxa"/>
              <w:bottom w:w="80" w:type="dxa"/>
              <w:end w:w="120" w:type="dxa"/>
            </w:tcMar>
            <w:vAlign w:val="center"/>
          </w:tcPr>
          <w:p>
            <w:pPr>
              <w:spacing w:after="0"/>
            </w:pPr>
            <w:r>
              <w:rPr>
                <w:rFonts w:ascii="Calibri" w:hAnsi="Calibri"/>
                <w:b/>
                <w:i w:val="0"/>
                <w:color w:val="1F4E79"/>
                <w:sz w:val="16"/>
              </w:rPr>
              <w:t>Query</w:t>
            </w:r>
          </w:p>
        </w:tc>
        <w:tc>
          <w:tcPr>
            <w:tcW w:type="dxa" w:w="4680"/>
            <w:shd w:fill="F2F4F7"/>
            <w:tcMar>
              <w:top w:w="80" w:type="dxa"/>
              <w:start w:w="120" w:type="dxa"/>
              <w:bottom w:w="80" w:type="dxa"/>
              <w:end w:w="120" w:type="dxa"/>
            </w:tcMar>
            <w:vAlign w:val="center"/>
          </w:tcPr>
          <w:p>
            <w:pPr>
              <w:spacing w:after="0"/>
            </w:pPr>
            <w:r>
              <w:rPr>
                <w:rFonts w:ascii="Calibri" w:hAnsi="Calibri"/>
                <w:b/>
                <w:i w:val="0"/>
                <w:color w:val="1F4E79"/>
                <w:sz w:val="16"/>
              </w:rPr>
              <w:t>Query</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"Hoeflin Power Test" answers solutions</w:t>
            </w:r>
          </w:p>
        </w:tc>
        <w:tc>
          <w:tcPr>
            <w:tcW w:type="dxa" w:w="4680"/>
            <w:tcMar>
              <w:top w:w="80" w:type="dxa"/>
              <w:start w:w="120" w:type="dxa"/>
              <w:bottom w:w="80" w:type="dxa"/>
              <w:end w:w="120" w:type="dxa"/>
            </w:tcMar>
            <w:vAlign w:val="top"/>
          </w:tcPr>
          <w:p>
            <w:pPr>
              <w:spacing w:after="0"/>
            </w:pPr>
            <w:r>
              <w:rPr>
                <w:rFonts w:ascii="Calibri" w:hAnsi="Calibri"/>
                <w:b w:val="0"/>
                <w:i w:val="0"/>
                <w:sz w:val="16"/>
              </w:rPr>
              <w:t>site:groups.google.com/g/rec.puzzles "Hoeflin Power Test"</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site:reddit.com/r/math "Hoeflin Power Test"</w:t>
            </w:r>
          </w:p>
        </w:tc>
        <w:tc>
          <w:tcPr>
            <w:tcW w:type="dxa" w:w="4680"/>
            <w:tcMar>
              <w:top w:w="80" w:type="dxa"/>
              <w:start w:w="120" w:type="dxa"/>
              <w:bottom w:w="80" w:type="dxa"/>
              <w:end w:w="120" w:type="dxa"/>
            </w:tcMar>
            <w:vAlign w:val="top"/>
          </w:tcPr>
          <w:p>
            <w:pPr>
              <w:spacing w:after="0"/>
            </w:pPr>
            <w:r>
              <w:rPr>
                <w:rFonts w:ascii="Calibri" w:hAnsi="Calibri"/>
                <w:b w:val="0"/>
                <w:i w:val="0"/>
                <w:sz w:val="16"/>
              </w:rPr>
              <w:t>site:artofproblemsolving.com Hoeflin "Power Test"</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site:puzzling.stackexchange.com "three cube problem" Mega</w:t>
            </w:r>
          </w:p>
        </w:tc>
        <w:tc>
          <w:tcPr>
            <w:tcW w:type="dxa" w:w="4680"/>
            <w:tcMar>
              <w:top w:w="80" w:type="dxa"/>
              <w:start w:w="120" w:type="dxa"/>
              <w:bottom w:w="80" w:type="dxa"/>
              <w:end w:w="120" w:type="dxa"/>
            </w:tcMar>
            <w:vAlign w:val="top"/>
          </w:tcPr>
          <w:p>
            <w:pPr>
              <w:spacing w:after="0"/>
            </w:pPr>
            <w:r>
              <w:rPr>
                <w:rFonts w:ascii="Calibri" w:hAnsi="Calibri"/>
                <w:b w:val="0"/>
                <w:i w:val="0"/>
                <w:sz w:val="16"/>
              </w:rPr>
              <w:t>site:math.stackexchange.com "ten marbles" white coin</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site:archive.org "Hoeflin Power Test" answers</w:t>
            </w:r>
          </w:p>
        </w:tc>
        <w:tc>
          <w:tcPr>
            <w:tcW w:type="dxa" w:w="4680"/>
            <w:tcMar>
              <w:top w:w="80" w:type="dxa"/>
              <w:start w:w="120" w:type="dxa"/>
              <w:bottom w:w="80" w:type="dxa"/>
              <w:end w:w="120" w:type="dxa"/>
            </w:tcMar>
            <w:vAlign w:val="top"/>
          </w:tcPr>
          <w:p>
            <w:pPr>
              <w:spacing w:after="0"/>
            </w:pPr>
            <w:r>
              <w:rPr>
                <w:rFonts w:ascii="Calibri" w:hAnsi="Calibri"/>
                <w:b w:val="0"/>
                <w:i w:val="0"/>
                <w:sz w:val="16"/>
              </w:rPr>
              <w:t>"How many distinguishable cubes" "three colors"</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"cube of butter" "five perfectly straight"</w:t>
            </w:r>
          </w:p>
        </w:tc>
        <w:tc>
          <w:tcPr>
            <w:tcW w:type="dxa" w:w="4680"/>
            <w:tcMar>
              <w:top w:w="80" w:type="dxa"/>
              <w:start w:w="120" w:type="dxa"/>
              <w:bottom w:w="80" w:type="dxa"/>
              <w:end w:w="120" w:type="dxa"/>
            </w:tcMar>
            <w:vAlign w:val="top"/>
          </w:tcPr>
          <w:p>
            <w:pPr>
              <w:spacing w:after="0"/>
            </w:pPr>
            <w:r>
              <w:rPr>
                <w:rFonts w:ascii="Calibri" w:hAnsi="Calibri"/>
                <w:b w:val="0"/>
                <w:i w:val="0"/>
                <w:sz w:val="16"/>
              </w:rPr>
              <w:t>"3,000 barrels of toxic chemicals" solution</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"three interpenetrating cubes" solution</w:t>
            </w:r>
          </w:p>
        </w:tc>
        <w:tc>
          <w:tcPr>
            <w:tcW w:type="dxa" w:w="4680"/>
            <w:tcMar>
              <w:top w:w="80" w:type="dxa"/>
              <w:start w:w="120" w:type="dxa"/>
              <w:bottom w:w="80" w:type="dxa"/>
              <w:end w:w="120" w:type="dxa"/>
            </w:tcMar>
            <w:vAlign w:val="top"/>
          </w:tcPr>
          <w:p>
            <w:pPr>
              <w:spacing w:after="0"/>
            </w:pPr>
            <w:r>
              <w:rPr>
                <w:rFonts w:ascii="Calibri" w:hAnsi="Calibri"/>
                <w:b w:val="0"/>
                <w:i w:val="0"/>
                <w:sz w:val="16"/>
              </w:rPr>
              <w:t>"ten marbles" "unbiased coin" "all white"</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"between each panel, each player has moved"</w:t>
            </w:r>
          </w:p>
        </w:tc>
        <w:tc>
          <w:tcPr>
            <w:tcW w:type="dxa" w:w="4680"/>
            <w:tcMar>
              <w:top w:w="80" w:type="dxa"/>
              <w:start w:w="120" w:type="dxa"/>
              <w:bottom w:w="80" w:type="dxa"/>
              <w:end w:w="120" w:type="dxa"/>
            </w:tcMar>
            <w:vAlign w:val="top"/>
          </w:tcPr>
          <w:p>
            <w:pPr>
              <w:spacing w:after="0"/>
            </w:pPr>
            <w:r>
              <w:rPr>
                <w:rFonts w:ascii="Calibri" w:hAnsi="Calibri"/>
                <w:b w:val="0"/>
                <w:i w:val="0"/>
                <w:sz w:val="16"/>
              </w:rPr>
              <w:t>"question 32" Hoeflin "sequence puzzles"</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octahedron white black faces distinct patterns</w:t>
            </w:r>
          </w:p>
        </w:tc>
        <w:tc>
          <w:tcPr>
            <w:tcW w:type="dxa" w:w="4680"/>
            <w:tcMar>
              <w:top w:w="80" w:type="dxa"/>
              <w:start w:w="120" w:type="dxa"/>
              <w:bottom w:w="80" w:type="dxa"/>
              <w:end w:w="120" w:type="dxa"/>
            </w:tcMar>
            <w:vAlign w:val="top"/>
          </w:tcPr>
          <w:p>
            <w:pPr>
              <w:spacing w:after="0"/>
            </w:pPr>
            <w:r>
              <w:rPr>
                <w:rFonts w:ascii="Calibri" w:hAnsi="Calibri"/>
                <w:b w:val="0"/>
                <w:i w:val="0"/>
                <w:sz w:val="16"/>
              </w:rPr>
              <w:t>"modified version" craps dodecahedra</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balanced ternary weights balance scale 1 to 100</w:t>
            </w:r>
          </w:p>
        </w:tc>
        <w:tc>
          <w:tcPr>
            <w:tcW w:type="dxa" w:w="4680"/>
            <w:tcMar>
              <w:top w:w="80" w:type="dxa"/>
              <w:start w:w="120" w:type="dxa"/>
              <w:bottom w:w="80" w:type="dxa"/>
              <w:end w:w="120" w:type="dxa"/>
            </w:tcMar>
            <w:vAlign w:val="top"/>
          </w:tcPr>
          <w:p>
            <w:pPr>
              <w:spacing w:after="0"/>
            </w:pPr>
            <w:r>
              <w:rPr>
                <w:rFonts w:ascii="Calibri" w:hAnsi="Calibri"/>
                <w:b w:val="0"/>
                <w:i w:val="0"/>
                <w:sz w:val="16"/>
              </w:rPr>
              <w:t>Burnside lemma cube faces three colors</w:t>
            </w:r>
          </w:p>
        </w:tc>
      </w:tr>
      <w:tr>
        <w:trPr>
          <w:cantSplit w:val="true"/>
        </w:trPr>
        <w:tc>
          <w:tcPr>
            <w:tcW w:type="dxa" w:w="4680"/>
            <w:tcMar>
              <w:top w:w="80" w:type="dxa"/>
              <w:start w:w="120" w:type="dxa"/>
              <w:bottom w:w="80" w:type="dxa"/>
              <w:end w:w="120" w:type="dxa"/>
            </w:tcMar>
            <w:vAlign w:val="top"/>
          </w:tcPr>
          <w:p>
            <w:pPr>
              <w:spacing w:after="0"/>
            </w:pPr>
            <w:r>
              <w:rPr>
                <w:rFonts w:ascii="Calibri" w:hAnsi="Calibri"/>
                <w:b w:val="0"/>
                <w:i w:val="0"/>
                <w:sz w:val="16"/>
              </w:rPr>
              <w:t>Hamiltonian cycle ants cube no encounter</w:t>
            </w:r>
          </w:p>
        </w:tc>
        <w:tc>
          <w:tcPr>
            <w:tcW w:type="dxa" w:w="4680"/>
            <w:tcMar>
              <w:top w:w="80" w:type="dxa"/>
              <w:start w:w="120" w:type="dxa"/>
              <w:bottom w:w="80" w:type="dxa"/>
              <w:end w:w="120" w:type="dxa"/>
            </w:tcMar>
            <w:vAlign w:val="top"/>
          </w:tcPr>
          <w:p>
            <w:pPr>
              <w:spacing w:after="0"/>
            </w:pPr>
            <w:r>
              <w:rPr>
                <w:rFonts w:ascii="Calibri" w:hAnsi="Calibri"/>
                <w:b w:val="0"/>
                <w:i w:val="0"/>
                <w:sz w:val="16"/>
              </w:rPr>
              <w:t>site:gamedev.net "three interpenetrating cubes"</w:t>
            </w:r>
          </w:p>
        </w:tc>
      </w:tr>
    </w:tbl>
    <w:p>
      <w:pPr>
        <w:pStyle w:val="Heading2"/>
      </w:pPr>
      <w:r>
        <w:t>Sources and repositories searched</w:t>
      </w:r>
    </w:p>
    <w:p>
      <w:pPr>
        <w:spacing w:after="100"/>
      </w:pPr>
      <w:r>
        <w:t>Official Mega Society pages/Noesis; searchable Titan copies; Google Groups/rec.puzzles; Reddit (r/math, r/slatestarcodex, r/cognitiveTesting); Physics Forums; Mathematics and Puzzling StackExchange; Hacker News; GameDev.net; CNBlogs; Metamerist; FreeMathHelp; Narkive; Scribd; arXiv/ar5iv; Indian Academy of Sciences; MDPI; The Washington Post; Art of Problem Solving; Archive.org; general web and exact-phrase indexes.</w:t>
      </w:r>
    </w:p>
    <w:p>
      <w:pPr>
        <w:pStyle w:val="Heading2"/>
      </w:pPr>
      <w:r>
        <w:t>Paywalled, inaccessible or incomplete sources</w:t>
      </w:r>
    </w:p>
    <w:p>
      <w:pPr>
        <w:pStyle w:val="ListBullet"/>
        <w:spacing w:after="50"/>
        <w:ind w:left="288" w:hanging="202"/>
      </w:pPr>
      <w:r>
        <w:rPr>
          <w:rFonts w:ascii="Calibri" w:hAnsi="Calibri"/>
          <w:b w:val="0"/>
          <w:i w:val="0"/>
          <w:sz w:val="17"/>
        </w:rPr>
        <w:t>Imgur links labelled Answer5, Answer9, Answer14, Answer18, Answer19 and Answer21 were visible in the 2009 r/math thread, but the hosted images required JavaScript and were not substantively inspected. They support link-level exposure only.</w:t>
      </w:r>
    </w:p>
    <w:p>
      <w:pPr>
        <w:pStyle w:val="ListBullet"/>
        <w:spacing w:after="50"/>
        <w:ind w:left="288" w:hanging="202"/>
      </w:pPr>
      <w:r>
        <w:rPr>
          <w:rFonts w:ascii="Calibri" w:hAnsi="Calibri"/>
          <w:b w:val="0"/>
          <w:i w:val="0"/>
          <w:sz w:val="17"/>
        </w:rPr>
        <w:t>FreeMathHelp pages for items 15 and 17 repeatedly timed out. Search indexing exposed the exact wording and, for item 15, a proposed result; the result is not reproduced here.</w:t>
      </w:r>
    </w:p>
    <w:p>
      <w:pPr>
        <w:pStyle w:val="ListBullet"/>
        <w:spacing w:after="50"/>
        <w:ind w:left="288" w:hanging="202"/>
      </w:pPr>
      <w:r>
        <w:rPr>
          <w:rFonts w:ascii="Calibri" w:hAnsi="Calibri"/>
          <w:b w:val="0"/>
          <w:i w:val="0"/>
          <w:sz w:val="17"/>
        </w:rPr>
        <w:t>Scribd allowed searchable page text but restricted full download behind sign-in. The Titan mirror’s original test date is known (April 1990), but the mirror upload date was not established.</w:t>
      </w:r>
    </w:p>
    <w:p>
      <w:pPr>
        <w:pStyle w:val="ListBullet"/>
        <w:spacing w:after="50"/>
        <w:ind w:left="288" w:hanging="202"/>
      </w:pPr>
      <w:r>
        <w:rPr>
          <w:rFonts w:ascii="Calibri" w:hAnsi="Calibri"/>
          <w:b w:val="0"/>
          <w:i w:val="0"/>
          <w:sz w:val="17"/>
        </w:rPr>
        <w:t>A TwoPlusTwo archive URL reported in an uploaded file for item 31 could not be independently reopened or verified and was not relied upon; the 2005 Usenet and 2015 Math StackExchange derivations suffice.</w:t>
      </w:r>
    </w:p>
    <w:p>
      <w:pPr>
        <w:pStyle w:val="ListBullet"/>
        <w:spacing w:after="50"/>
        <w:ind w:left="288" w:hanging="202"/>
      </w:pPr>
      <w:r>
        <w:rPr>
          <w:rFonts w:ascii="Calibri" w:hAnsi="Calibri"/>
          <w:b w:val="0"/>
          <w:i w:val="0"/>
          <w:sz w:val="17"/>
        </w:rPr>
        <w:t>Some Google Groups messages are collapsed/deleted and private-email offers in old threads are inherently unavailable. The report uses only surviving public text.</w:t>
      </w:r>
    </w:p>
    <w:p>
      <w:pPr>
        <w:pStyle w:val="ListBullet"/>
        <w:spacing w:after="50"/>
        <w:ind w:left="288" w:hanging="202"/>
      </w:pPr>
      <w:r>
        <w:rPr>
          <w:rFonts w:ascii="Calibri" w:hAnsi="Calibri"/>
          <w:b w:val="0"/>
          <w:i w:val="0"/>
          <w:sz w:val="17"/>
        </w:rPr>
        <w:t>The IAS article page intermittently failed to open, though title/abstract indexing and the open arXiv treatment independently support the item-14 historical-method point.</w:t>
      </w:r>
    </w:p>
    <w:p>
      <w:pPr>
        <w:pStyle w:val="ListBullet"/>
        <w:spacing w:after="50"/>
        <w:ind w:left="288" w:hanging="202"/>
      </w:pPr>
      <w:r>
        <w:rPr>
          <w:rFonts w:ascii="Calibri" w:hAnsi="Calibri"/>
          <w:b w:val="0"/>
          <w:i w:val="0"/>
          <w:sz w:val="17"/>
        </w:rPr>
        <w:t>No direct substantive Hoeflin/Power answer match was found in the Art of Problem Solving or Archive.org searches performed. This is a negative search result, not proof of absence.</w:t>
      </w:r>
    </w:p>
    <w:p>
      <w:pPr>
        <w:pStyle w:val="ListBullet"/>
        <w:spacing w:after="50"/>
        <w:ind w:left="288" w:hanging="202"/>
      </w:pPr>
      <w:r>
        <w:rPr>
          <w:rFonts w:ascii="Calibri" w:hAnsi="Calibri"/>
          <w:b w:val="0"/>
          <w:i w:val="0"/>
          <w:sz w:val="17"/>
        </w:rPr>
        <w:t>Visual items 1–2, 9 and 32–36 are harder to exact-search. Image hashing/OCR across closed or unindexed collections was outside scope.</w:t>
      </w:r>
    </w:p>
    <w:p>
      <w:pPr>
        <w:pStyle w:val="Heading2"/>
      </w:pPr>
      <w:r>
        <w:t>Corrections made after checking the uploaded files</w:t>
      </w:r>
    </w:p>
    <w:p>
      <w:pPr>
        <w:pStyle w:val="ListBullet"/>
        <w:spacing w:after="50"/>
        <w:ind w:left="288" w:hanging="202"/>
      </w:pPr>
      <w:r>
        <w:rPr>
          <w:rFonts w:ascii="Calibri" w:hAnsi="Calibri"/>
          <w:b w:val="0"/>
          <w:i w:val="0"/>
          <w:sz w:val="17"/>
        </w:rPr>
        <w:t>The r/math Power Test thread is dated 24 December 2009, not approximately 2006.</w:t>
      </w:r>
    </w:p>
    <w:p>
      <w:pPr>
        <w:pStyle w:val="ListBullet"/>
        <w:spacing w:after="50"/>
        <w:ind w:left="288" w:hanging="202"/>
      </w:pPr>
      <w:r>
        <w:rPr>
          <w:rFonts w:ascii="Calibri" w:hAnsi="Calibri"/>
          <w:b w:val="0"/>
          <w:i w:val="0"/>
          <w:sz w:val="17"/>
        </w:rPr>
        <w:t>The r/cognitiveTesting item-32 thread is dated 8 December 2024, not approximately 2021.</w:t>
      </w:r>
    </w:p>
    <w:p>
      <w:pPr>
        <w:pStyle w:val="ListBullet"/>
        <w:spacing w:after="50"/>
        <w:ind w:left="288" w:hanging="202"/>
      </w:pPr>
      <w:r>
        <w:rPr>
          <w:rFonts w:ascii="Calibri" w:hAnsi="Calibri"/>
          <w:b w:val="0"/>
          <w:i w:val="0"/>
          <w:sz w:val="17"/>
        </w:rPr>
        <w:t>The S. Bagai “Balanced Number System” paper is relevant to item 14 (balanced weights), not item 7 (octahedron colouring).</w:t>
      </w:r>
    </w:p>
    <w:p>
      <w:pPr>
        <w:pStyle w:val="ListBullet"/>
        <w:spacing w:after="50"/>
        <w:ind w:left="288" w:hanging="202"/>
      </w:pPr>
      <w:r>
        <w:rPr>
          <w:rFonts w:ascii="Calibri" w:hAnsi="Calibri"/>
          <w:b w:val="0"/>
          <w:i w:val="0"/>
          <w:sz w:val="17"/>
        </w:rPr>
        <w:t>Several uploaded matrices understated exact solution exposure for items 1, 4, 8, 20, 25 and 29; the surviving forum text and Titan cross-references support the stronger classifications used here.</w:t>
      </w:r>
    </w:p>
    <w:p>
      <w:pPr>
        <w:pStyle w:val="ListBullet"/>
        <w:spacing w:after="50"/>
        <w:ind w:left="288" w:hanging="202"/>
      </w:pPr>
      <w:r>
        <w:rPr>
          <w:rFonts w:ascii="Calibri" w:hAnsi="Calibri"/>
          <w:b w:val="0"/>
          <w:i w:val="0"/>
          <w:sz w:val="17"/>
        </w:rPr>
        <w:t>The TwoPlusTwo item-31 citation was left out of the evidentiary basis because it could not be independently verified.</w:t>
      </w:r>
    </w:p>
    <w:p>
      <w:pPr>
        <w:pStyle w:val="Heading2"/>
      </w:pPr>
      <w:r>
        <w:t>Interpretive limitations</w:t>
      </w:r>
    </w:p>
    <w:p>
      <w:r>
        <w:t>Public availability establishes an opportunity for exposure, not actual access, intent or misconduct. Search-result dates may reflect page publication, post timestamps or mirror availability and should be compared carefully with the test-taker’s attempt date. Forum answers can be wrong; this audit grades the existence and specificity of assistance, not official correctness. “No substantive match found” is bounded by indexed, publicly reachable material reviewed through 3 August 2026.</w:t>
      </w:r>
    </w:p>
    <w:p>
      <w:r>
        <w:br w:type="page"/>
      </w:r>
    </w:p>
    <w:p>
      <w:pPr>
        <w:pStyle w:val="Heading1"/>
      </w:pPr>
      <w:r>
        <w:t>Appendix D — Research prompt (verbatim)</w:t>
      </w:r>
    </w:p>
    <w:p>
      <w:pPr>
        <w:spacing w:line="269" w:lineRule="auto" w:after="120"/>
      </w:pPr>
      <w:r>
        <w:rPr>
          <w:rFonts w:ascii="Calibri" w:hAnsi="Calibri"/>
          <w:b w:val="0"/>
          <w:i w:val="0"/>
          <w:sz w:val="19"/>
        </w:rPr>
        <w:t>Conduct in-depth research to locate (test questions from the Power Test) online solutions, partial answers, or hints for the Hoeflin Power Test (PDF at https://megasociety.org/admission/power/) so I can report potential prior exposure by a test-taker. I am asking you to: 1) search for verbatim problem statements, worked solutions, answer keys, or substantial hints in public sources (web pages, forums, puzzle sites, books, academic papers, archived pages). 2) Identify which specific test items (by problem number and first line or short quote) have matches or near-matches online and provide URLs, dates, and short excerpts showing the match. 3) Assess the strength of evidence for prior exposure for each matched item (exact match, paraphrase, partial overlap, common puzzle trope) and estimate confidence (high/medium/low) with brief justification. 4) List sources searched, search queries used, and any paywalled or inaccessible sources encountered. 5) Produce a concise report (1–2 pages) summarizing findings suitable for attachment to an email to The Mega Society. Include a table mapping problem numbers to found sources and confidence. Prioritize primary/official sources, puzzle forums (e.g., Art of Problem Solving, StackExchange, Puzzling), archived pages, and books. If images or worked solutions online would clarify matches, include links or screenshots. Assume no specific time constraint and no geographic restriction. Provide an executive summary at the start of the report. Write the report in English and include the full prompt used for this research as an appendix. Also draft an email to The Mega Society (English) explaining the attached report and how it was generated, without disclosing internal tool names or versions; explain methodology, searches performed, and that the prompt is attached. Do not include any private data. Format: analytical report plus email; include a table and, where helpful, a mermaid timeline of search steps. (Use and verify the data in the uploaded files. Try to work for at least 30 minutes.)</w:t>
      </w:r>
    </w:p>
    <w:p>
      <w:r>
        <w:br w:type="page"/>
      </w:r>
    </w:p>
    <w:p>
      <w:pPr>
        <w:pStyle w:val="Heading1"/>
      </w:pPr>
      <w:r>
        <w:t>Appendix E — Draft email to The Mega Society</w:t>
      </w:r>
    </w:p>
    <w:p>
      <w:pPr>
        <w:spacing w:after="140"/>
      </w:pPr>
      <w:r>
        <w:rPr>
          <w:rFonts w:ascii="Calibri" w:hAnsi="Calibri"/>
          <w:b/>
          <w:i w:val="0"/>
          <w:color w:val="1F4E79"/>
          <w:sz w:val="20"/>
        </w:rPr>
        <w:t>Subject: Public-exposure review of the Hoeflin Power Test</w:t>
      </w:r>
    </w:p>
    <w:p>
      <w:pPr>
        <w:spacing w:after="140"/>
      </w:pPr>
      <w:r>
        <w:rPr>
          <w:rFonts w:ascii="Calibri" w:hAnsi="Calibri"/>
          <w:b w:val="0"/>
          <w:i w:val="0"/>
          <w:sz w:val="20"/>
        </w:rPr>
        <w:t>Dear Mega Society Admissions/Administration,</w:t>
      </w:r>
    </w:p>
    <w:p>
      <w:pPr>
        <w:spacing w:after="140"/>
      </w:pPr>
      <w:r>
        <w:rPr>
          <w:rFonts w:ascii="Calibri" w:hAnsi="Calibri"/>
          <w:b w:val="0"/>
          <w:i w:val="0"/>
          <w:sz w:val="20"/>
        </w:rPr>
        <w:t>I am sending the attached public-source exposure audit of Ronald Hoeflin’s Power Test. Its purpose is to flag material that could give a test-taker prior exposure; it is not an allegation that any particular person accessed or used these sources, and it does not authenticate the correctness of unofficial answers.</w:t>
      </w:r>
    </w:p>
    <w:p>
      <w:pPr>
        <w:spacing w:after="140"/>
      </w:pPr>
      <w:r>
        <w:rPr>
          <w:rFonts w:ascii="Calibri" w:hAnsi="Calibri"/>
          <w:b w:val="0"/>
          <w:i w:val="0"/>
          <w:sz w:val="20"/>
        </w:rPr>
        <w:t>The review compared the current 36 items with the Society’s official Power Test page, the July 1996 Noesis publication, and publicly circulated Titan material. It then used exact-phrase searches, item-specific searches, and method/theorem searches across archived Usenet discussions, Reddit, Physics Forums, StackExchange/Puzzling, other puzzle forums, blogs, books and academic sources. Earlier uploaded matrices and reports were treated as leads only: retained findings were independently reopened and checked, and discrepancies in dates and item-to-source mappings were corrected.</w:t>
      </w:r>
    </w:p>
    <w:p>
      <w:pPr>
        <w:spacing w:after="140"/>
      </w:pPr>
      <w:r>
        <w:rPr>
          <w:rFonts w:ascii="Calibri" w:hAnsi="Calibri"/>
          <w:b w:val="0"/>
          <w:i w:val="0"/>
          <w:sz w:val="20"/>
        </w:rPr>
        <w:t>As of 3 August 2026, the audit found high-confidence evidence of substantive public answer or hint exposure for 24 of 36 items, medium-confidence evidence for four, and only prompt-level or no substantive match for eight. “High confidence” describes confidence that relevant material was publicly available—not that every posted answer is correct or that a particular test-taker saw it. The report therefore distinguishes exact current-item matches, exact Titan predecessors, paraphrases, partial hints and common puzzle methods. To avoid creating another answer key, the attachment omits numerical answer values while preserving URLs, dates and short method excerpts.</w:t>
      </w:r>
    </w:p>
    <w:p>
      <w:pPr>
        <w:spacing w:after="140"/>
      </w:pPr>
      <w:r>
        <w:rPr>
          <w:rFonts w:ascii="Calibri" w:hAnsi="Calibri"/>
          <w:b w:val="0"/>
          <w:i w:val="0"/>
          <w:sz w:val="20"/>
        </w:rPr>
        <w:t>The two-page executive report is followed by a 36-item evidence matrix, source and query log, access limitations, and the verbatim research prompt. I would appreciate your review of the linked sources and any guidance on how potential prior exposure should be considered when evaluating a score.</w:t>
      </w:r>
    </w:p>
    <w:p>
      <w:pPr>
        <w:spacing w:after="140"/>
      </w:pPr>
      <w:r>
        <w:rPr>
          <w:rFonts w:ascii="Calibri" w:hAnsi="Calibri"/>
          <w:b w:val="0"/>
          <w:i w:val="0"/>
          <w:sz w:val="20"/>
        </w:rPr>
        <w:t>Sincerely,</w:t>
      </w:r>
    </w:p>
    <w:p>
      <w:pPr>
        <w:spacing w:after="140"/>
      </w:pPr>
      <w:r>
        <w:rPr>
          <w:rFonts w:ascii="Calibri" w:hAnsi="Calibri"/>
          <w:b w:val="0"/>
          <w:i w:val="0"/>
          <w:sz w:val="20"/>
        </w:rPr>
        <w:t>[Name]</w:t>
      </w:r>
    </w:p>
    <w:sectPr w:rsidR="00FC693F" w:rsidRPr="0006063C" w:rsidSect="00034616">
      <w:pgSz w:w="12240" w:h="15840"/>
      <w:pgMar w:top="1037" w:right="1152" w:bottom="936" w:left="1152"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67085"/>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4" w:color="2E74B5"/>
      </w:pBdr>
    </w:pPr>
    <w:r>
      <w:rPr>
        <w:rFonts w:ascii="Calibri" w:hAnsi="Calibri"/>
        <w:b/>
        <w:i w:val="0"/>
        <w:color w:val="667085"/>
        <w:sz w:val="16"/>
      </w:rPr>
      <w:t>PUBLIC-SOURCE EXPOSURE AUDIT  |  3 AUG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roups.google.com/g/rec.puzzles/c/Pk756QuOork" TargetMode="External"/><Relationship Id="rId12" Type="http://schemas.openxmlformats.org/officeDocument/2006/relationships/hyperlink" Target="https://groups.google.com/g/rec.puzzles/c/hpC-_IgMmZw" TargetMode="External"/><Relationship Id="rId13" Type="http://schemas.openxmlformats.org/officeDocument/2006/relationships/hyperlink" Target="https://www.physicsforums.com/threads/octahedron-problem-how-many-color-patterns.288312/" TargetMode="External"/><Relationship Id="rId14" Type="http://schemas.openxmlformats.org/officeDocument/2006/relationships/hyperlink" Target="https://www.scribd.com/doc/253577266/Mega-Society-Titan-Test" TargetMode="External"/><Relationship Id="rId15" Type="http://schemas.openxmlformats.org/officeDocument/2006/relationships/hyperlink" Target="https://groups.google.com/g/rec.puzzles/c/_B_FTJxS_Ys" TargetMode="External"/><Relationship Id="rId16" Type="http://schemas.openxmlformats.org/officeDocument/2006/relationships/hyperlink" Target="https://metamerist.blogspot.com/2007/08/hard-puzzles-like-butter.html" TargetMode="External"/><Relationship Id="rId17" Type="http://schemas.openxmlformats.org/officeDocument/2006/relationships/hyperlink" Target="https://www.reddit.com/r/math/comments/ai97q/the_hoeflin_power_test_very_difficult_iqlogicmath/" TargetMode="External"/><Relationship Id="rId18" Type="http://schemas.openxmlformats.org/officeDocument/2006/relationships/hyperlink" Target="https://www.reddit.com/r/slatestarcodex/comments/a38tik/the_mega_test_and_bullshitchristopher_langan/" TargetMode="External"/><Relationship Id="rId19" Type="http://schemas.openxmlformats.org/officeDocument/2006/relationships/hyperlink" Target="https://www.themathdoctors.org/cutting-up-space-using-n-planes/" TargetMode="External"/><Relationship Id="rId20" Type="http://schemas.openxmlformats.org/officeDocument/2006/relationships/hyperlink" Target="https://www.freemathhelp.com/forum/threads/volumetric-displacement-question-3-000-barrels-of-toxic-chemicals.109742/" TargetMode="External"/><Relationship Id="rId21" Type="http://schemas.openxmlformats.org/officeDocument/2006/relationships/hyperlink" Target="https://www.cnblogs.com/kakrat/archive/2008/09/18/1293224.html" TargetMode="External"/><Relationship Id="rId22" Type="http://schemas.openxmlformats.org/officeDocument/2006/relationships/hyperlink" Target="https://www.washingtonpost.com/archive/local/1988/11/28/is-176-iq-enough-in-white-house/c0535981-650c-4c33-a233-78babc3006e0/" TargetMode="External"/><Relationship Id="rId23" Type="http://schemas.openxmlformats.org/officeDocument/2006/relationships/hyperlink" Target="https://gamedev.net/forums/topic/408053-what-is-your-iq/3716929/" TargetMode="External"/><Relationship Id="rId24" Type="http://schemas.openxmlformats.org/officeDocument/2006/relationships/hyperlink" Target="https://news.ycombinator.com/item?id=14472265" TargetMode="External"/><Relationship Id="rId25" Type="http://schemas.openxmlformats.org/officeDocument/2006/relationships/hyperlink" Target="https://puzzling.stackexchange.com/questions/91881/what-is-the-three-cube-problem-in-the-mega-test" TargetMode="External"/><Relationship Id="rId26" Type="http://schemas.openxmlformats.org/officeDocument/2006/relationships/hyperlink" Target="https://math.stackexchange.com/questions/1371864/ten-marbles-put-in-a-box-colour-of-each-set-by-toss-of-a-fair-coin-you-draw-w" TargetMode="External"/><Relationship Id="rId27" Type="http://schemas.openxmlformats.org/officeDocument/2006/relationships/hyperlink" Target="https://www.reddit.com/r/cognitiveTesting/comments/1h9fou5/sequence_puzzles_help/" TargetMode="External"/><Relationship Id="rId28" Type="http://schemas.openxmlformats.org/officeDocument/2006/relationships/hyperlink" Target="https://groups.google.com/g/rec.puzzles/c/6_LEKQOk5ks" TargetMode="External"/><Relationship Id="rId29" Type="http://schemas.openxmlformats.org/officeDocument/2006/relationships/hyperlink" Target="https://megasociety.org/admission/power/" TargetMode="External"/><Relationship Id="rId30" Type="http://schemas.openxmlformats.org/officeDocument/2006/relationships/hyperlink" Target="https://ar5iv.labs.arxiv.org/html/1010.5486" TargetMode="External"/><Relationship Id="rId31" Type="http://schemas.openxmlformats.org/officeDocument/2006/relationships/hyperlink" Target="https://www.ias.ac.in/article/fulltext/reso/023/12/1395-1410" TargetMode="External"/><Relationship Id="rId32" Type="http://schemas.openxmlformats.org/officeDocument/2006/relationships/hyperlink" Target="https://www.freemathhelp.com/forum/threads/dodecahedron-scraps.129053/" TargetMode="External"/><Relationship Id="rId33" Type="http://schemas.openxmlformats.org/officeDocument/2006/relationships/hyperlink" Target="https://megasociety.org/noesis/121.pdf" TargetMode="External"/><Relationship Id="rId34" Type="http://schemas.openxmlformats.org/officeDocument/2006/relationships/hyperlink" Target="https://groups.google.com/g/rec.puzzles/c/FeATkqLdQo8" TargetMode="External"/><Relationship Id="rId35" Type="http://schemas.openxmlformats.org/officeDocument/2006/relationships/hyperlink" Target="https://rec.puzzles.narkive.com/RSLtcQxT/answers-to-the-titan-test-a-phoney-iq-test" TargetMode="External"/><Relationship Id="rId36" Type="http://schemas.openxmlformats.org/officeDocument/2006/relationships/hyperlink" Target="https://www.mdpi.com/2624-8611/2/2/10" TargetMode="External"/><Relationship Id="rId37" Type="http://schemas.openxmlformats.org/officeDocument/2006/relationships/hyperlink" Target="https://www.scribd.com/document/829939923/titan-test-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Exposure Audit of the Hoeflin Power Test</dc:title>
  <dc:subject>Public-source prior-exposure review</dc:subject>
  <dc:creator>Independent public-source review</dc:creator>
  <cp:keywords>Hoeflin Power Test; Mega Society; public exposure; audit</cp:keywords>
  <dc:description>generated by python-docx</dc:description>
  <cp:lastModifiedBy/>
  <cp:revision>1</cp:revision>
  <dcterms:created xsi:type="dcterms:W3CDTF">2013-12-23T23:15:00Z</dcterms:created>
  <dcterms:modified xsi:type="dcterms:W3CDTF">2013-12-23T23:15:00Z</dcterms:modified>
  <cp:category/>
</cp:coreProperties>
</file>