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pPr>
      <w:r>
        <w:t>Public Exposure Audit of the Hoeflin Power Test</w:t>
      </w:r>
    </w:p>
    <w:p>
      <w:pPr>
        <w:spacing w:after="160"/>
      </w:pPr>
      <w:r>
        <w:rPr>
          <w:rFonts w:ascii="Calibri" w:hAnsi="Calibri"/>
          <w:b w:val="0"/>
          <w:i/>
          <w:sz w:val="21"/>
        </w:rPr>
        <w:t>Two-page executive report with 36-item evidence matrix, predecessor carryover maps and reproducibility appendix</w:t>
      </w:r>
    </w:p>
    <w:p>
      <w:pPr>
        <w:spacing w:after="40"/>
      </w:pPr>
      <w:r>
        <w:rPr>
          <w:rFonts w:ascii="Calibri" w:hAnsi="Calibri"/>
          <w:b/>
          <w:i w:val="0"/>
          <w:color w:val="667085"/>
          <w:sz w:val="17"/>
        </w:rPr>
        <w:t xml:space="preserve">TO  </w:t>
      </w:r>
      <w:r>
        <w:rPr>
          <w:rFonts w:ascii="Calibri" w:hAnsi="Calibri"/>
          <w:b/>
          <w:i w:val="0"/>
          <w:color w:val="1F4E79"/>
          <w:sz w:val="19"/>
        </w:rPr>
        <w:t>The Mega Society</w:t>
      </w:r>
    </w:p>
    <w:p>
      <w:pPr>
        <w:spacing w:after="40"/>
      </w:pPr>
      <w:r>
        <w:rPr>
          <w:rFonts w:ascii="Calibri" w:hAnsi="Calibri"/>
          <w:b/>
          <w:i w:val="0"/>
          <w:color w:val="667085"/>
          <w:sz w:val="17"/>
        </w:rPr>
        <w:t xml:space="preserve">DATE  </w:t>
      </w:r>
      <w:r>
        <w:rPr>
          <w:rFonts w:ascii="Calibri" w:hAnsi="Calibri"/>
          <w:b/>
          <w:i w:val="0"/>
          <w:color w:val="1F4E79"/>
          <w:sz w:val="19"/>
        </w:rPr>
        <w:t>4 August 2026 (revised)</w:t>
      </w:r>
    </w:p>
    <w:p>
      <w:pPr>
        <w:spacing w:after="40"/>
      </w:pPr>
      <w:r>
        <w:rPr>
          <w:rFonts w:ascii="Calibri" w:hAnsi="Calibri"/>
          <w:b/>
          <w:i w:val="0"/>
          <w:color w:val="667085"/>
          <w:sz w:val="17"/>
        </w:rPr>
        <w:t xml:space="preserve">PURPOSE  </w:t>
      </w:r>
      <w:r>
        <w:rPr>
          <w:rFonts w:ascii="Calibri" w:hAnsi="Calibri"/>
          <w:b/>
          <w:i w:val="0"/>
          <w:color w:val="1F4E79"/>
          <w:sz w:val="19"/>
        </w:rPr>
        <w:t>Assess publicly available material that could create prior exposure; not to allege actual access by any person</w:t>
      </w:r>
    </w:p>
    <w:p>
      <w:pPr>
        <w:pStyle w:val="Heading1"/>
      </w:pPr>
      <w:r>
        <w:t>Executive summary</w:t>
      </w:r>
    </w:p>
    <w:p>
      <w:r>
        <w:rPr>
          <w:rFonts w:ascii="Calibri" w:hAnsi="Calibri"/>
          <w:b/>
          <w:i w:val="0"/>
          <w:color w:val="1F4E79"/>
          <w:sz w:val="20"/>
        </w:rPr>
        <w:t xml:space="preserve">Result. </w:t>
      </w:r>
      <w:r>
        <w:rPr>
          <w:rFonts w:ascii="Calibri" w:hAnsi="Calibri"/>
          <w:b w:val="0"/>
          <w:i w:val="0"/>
          <w:sz w:val="20"/>
        </w:rPr>
        <w:t>Public sources provide high-confidence evidence of substantive answer or hint exposure for 25 of the 36 Power Test items, medium-confidence evidence for seven, and only prompt-level or no substantive match for four. Direct comparison maps 35 distinct Power items to predecessor tests: 13 Mega, 15 Titan and seven Ultra. "High confidence" means confidence that relevant material was publicly available; it does not prove that a test-taker saw it, and it does not authenticate every unofficial answer.</w:t>
      </w:r>
    </w:p>
    <w:tbl>
      <w:tblPr>
        <w:tblW w:type="dxa" w:w="9360"/>
        <w:jc w:val="center"/>
        <w:tblLayout w:type="fixed"/>
        <w:tblLook w:firstColumn="1" w:firstRow="1" w:lastColumn="0" w:lastRow="0" w:noHBand="0" w:noVBand="1" w:val="04A0"/>
      </w:tblPr>
      <w:tblGrid>
        <w:gridCol w:w="9936"/>
      </w:tblGrid>
      <w:tr>
        <w:tc>
          <w:tcPr>
            <w:tcW w:type="dxa" w:w="9936"/>
            <w:shd w:fill="D9EAF7"/>
            <w:tcMar>
              <w:top w:w="110" w:type="dxa"/>
              <w:start w:w="150" w:type="dxa"/>
              <w:bottom w:w="110" w:type="dxa"/>
              <w:end w:w="150" w:type="dxa"/>
            </w:tcMar>
          </w:tcPr>
          <w:p>
            <w:pPr>
              <w:spacing w:after="0"/>
            </w:pPr>
            <w:r>
              <w:rPr>
                <w:rFonts w:ascii="Calibri" w:hAnsi="Calibri"/>
                <w:b/>
                <w:i w:val="0"/>
                <w:color w:val="1F4E79"/>
                <w:sz w:val="18"/>
              </w:rPr>
              <w:t xml:space="preserve">Most consequential finding.  </w:t>
            </w:r>
            <w:r>
              <w:rPr>
                <w:rFonts w:ascii="Calibri" w:hAnsi="Calibri"/>
                <w:b w:val="0"/>
                <w:i w:val="0"/>
                <w:sz w:val="18"/>
              </w:rPr>
              <w:t>The Power Test states that it reuses Mega, Titan and Ultra items [O1]. Direct comparison identifies predecessors for 35 of 36 current questions: 13 Mega [ME1], 15 Titan [T1] and seven Ultra [UL1]. Public sources contain high-confidence substantive material for 25 items and medium-confidence material for seven; four remain prompt-only or without a substantive match. Power 36 is the only item not traced to a predecessor test.</w:t>
            </w:r>
          </w:p>
        </w:tc>
      </w:tr>
    </w:tbl>
    <w:p>
      <w:pPr>
        <w:spacing w:after="0"/>
      </w:pPr>
    </w:p>
    <w:p>
      <w:pPr>
        <w:pStyle w:val="Heading2"/>
      </w:pPr>
      <w:r>
        <w:t>Scope and method</w:t>
      </w:r>
    </w:p>
    <w:p>
      <w:pPr>
        <w:spacing w:after="100"/>
      </w:pPr>
      <w:r>
        <w:rPr>
          <w:rFonts w:ascii="Calibri" w:hAnsi="Calibri"/>
          <w:b w:val="0"/>
          <w:i w:val="0"/>
          <w:sz w:val="18"/>
        </w:rPr>
        <w:t>The current page and July 1996 Noesis publication supplied the wording/numbering baseline [O1-O2]. The April 1985 Mega scan, searchable Titan text and official Ultra page/sequence sheet were compared directly [ME1, T1, UL1]. Uploaded files were leads only; retained matches were reopened or corroborated. Searches combined exact phrases, item numbers, predecessor mappings and method names across forums, archives, books and academic sources. Candidate answers count as exposure even when disputed; numerical values are omitted.</w:t>
      </w:r>
    </w:p>
    <w:p>
      <w:pPr>
        <w:pStyle w:val="Heading2"/>
      </w:pPr>
      <w:r>
        <w:t>Key evidence</w:t>
      </w:r>
    </w:p>
    <w:p>
      <w:pPr>
        <w:pStyle w:val="ListBullet"/>
        <w:spacing w:after="40"/>
        <w:ind w:left="288" w:hanging="202"/>
      </w:pPr>
      <w:r>
        <w:rPr>
          <w:rFonts w:ascii="Calibri" w:hAnsi="Calibri"/>
          <w:b w:val="0"/>
          <w:i w:val="0"/>
          <w:sz w:val="18"/>
        </w:rPr>
        <w:t>Carryovers: 35 of 36 current items map to predecessors - 13 Mega, 15 Titan and seven Ultra. The earlier Titan total of 14 was a counting error.</w:t>
      </w:r>
    </w:p>
    <w:p>
      <w:pPr>
        <w:pStyle w:val="ListBullet"/>
        <w:spacing w:after="40"/>
        <w:ind w:left="288" w:hanging="202"/>
      </w:pPr>
      <w:r>
        <w:rPr>
          <w:rFonts w:ascii="Calibri" w:hAnsi="Calibri"/>
          <w:b w:val="0"/>
          <w:i w:val="0"/>
          <w:sz w:val="18"/>
        </w:rPr>
        <w:t>Mega: eight carryovers have high-confidence exposure, four have candidate/method exposure, and one is prompt-only.</w:t>
      </w:r>
    </w:p>
    <w:p>
      <w:pPr>
        <w:pStyle w:val="ListBullet"/>
        <w:spacing w:after="40"/>
        <w:ind w:left="288" w:hanging="202"/>
      </w:pPr>
      <w:r>
        <w:rPr>
          <w:rFonts w:ascii="Calibri" w:hAnsi="Calibri"/>
          <w:b w:val="0"/>
          <w:i w:val="0"/>
          <w:sz w:val="18"/>
        </w:rPr>
        <w:t>Titan: the 2005 answer thread covers 14 of 15 exact carryovers; Power 27 is now medium after a 2017 public construction.</w:t>
      </w:r>
    </w:p>
    <w:p>
      <w:pPr>
        <w:pStyle w:val="ListBullet"/>
        <w:spacing w:after="40"/>
        <w:ind w:left="288" w:hanging="202"/>
      </w:pPr>
      <w:r>
        <w:rPr>
          <w:rFonts w:ascii="Calibri" w:hAnsi="Calibri"/>
          <w:b w:val="0"/>
          <w:i w:val="0"/>
          <w:sz w:val="18"/>
        </w:rPr>
        <w:t>Ultra: Power 30 and 32 are high, 5 and 6 medium, and 33-35 prompt-only. Ultra scores after 27 May 2026 are ineligible [MS1, N2].</w:t>
      </w:r>
    </w:p>
    <w:p>
      <w:pPr>
        <w:pStyle w:val="Heading2"/>
      </w:pPr>
      <w:r>
        <w:t>Confidence rubric</w:t>
      </w:r>
    </w:p>
    <w:tbl>
      <w:tblPr>
        <w:tblStyle w:val="TableGrid"/>
        <w:tblW w:type="dxa" w:w="9360"/>
        <w:jc w:val="center"/>
        <w:tblLayout w:type="fixed"/>
        <w:tblLook w:firstColumn="1" w:firstRow="1" w:lastColumn="0" w:lastRow="0" w:noHBand="0" w:noVBand="1" w:val="04A0"/>
      </w:tblPr>
      <w:tblGrid>
        <w:gridCol w:w="4968"/>
        <w:gridCol w:w="4968"/>
      </w:tblGrid>
      <w:tr>
        <w:trPr>
          <w:tblHeader w:val="true"/>
          <w:cantSplit w:val="true"/>
        </w:trPr>
        <w:tc>
          <w:tcPr>
            <w:tcW w:type="dxa" w:w="1200"/>
            <w:shd w:fill="F2F4F7"/>
            <w:tcMar>
              <w:top w:w="80" w:type="dxa"/>
              <w:start w:w="120" w:type="dxa"/>
              <w:bottom w:w="80" w:type="dxa"/>
              <w:end w:w="120" w:type="dxa"/>
            </w:tcMar>
            <w:vAlign w:val="center"/>
          </w:tcPr>
          <w:p>
            <w:pPr>
              <w:spacing w:after="0"/>
            </w:pPr>
            <w:r>
              <w:rPr>
                <w:rFonts w:ascii="Calibri" w:hAnsi="Calibri"/>
                <w:b/>
                <w:i w:val="0"/>
                <w:color w:val="1F4E79"/>
                <w:sz w:val="16"/>
              </w:rPr>
              <w:t>Level</w:t>
            </w:r>
          </w:p>
        </w:tc>
        <w:tc>
          <w:tcPr>
            <w:tcW w:type="dxa" w:w="8160"/>
            <w:shd w:fill="F2F4F7"/>
            <w:tcMar>
              <w:top w:w="80" w:type="dxa"/>
              <w:start w:w="120" w:type="dxa"/>
              <w:bottom w:w="80" w:type="dxa"/>
              <w:end w:w="120" w:type="dxa"/>
            </w:tcMar>
            <w:vAlign w:val="center"/>
          </w:tcPr>
          <w:p>
            <w:pPr>
              <w:spacing w:after="0"/>
            </w:pPr>
            <w:r>
              <w:rPr>
                <w:rFonts w:ascii="Calibri" w:hAnsi="Calibri"/>
                <w:b/>
                <w:i w:val="0"/>
                <w:color w:val="1F4E79"/>
                <w:sz w:val="16"/>
              </w:rPr>
              <w:t>Operational meaning</w:t>
            </w:r>
          </w:p>
        </w:tc>
      </w:tr>
      <w:tr>
        <w:trPr>
          <w:cantSplit w:val="true"/>
        </w:trPr>
        <w:tc>
          <w:tcPr>
            <w:tcW w:type="dxa" w:w="1200"/>
            <w:tcMar>
              <w:top w:w="80" w:type="dxa"/>
              <w:start w:w="120" w:type="dxa"/>
              <w:bottom w:w="80" w:type="dxa"/>
              <w:end w:w="120" w:type="dxa"/>
            </w:tcMar>
            <w:vAlign w:val="top"/>
          </w:tcPr>
          <w:p>
            <w:pPr>
              <w:spacing w:after="0"/>
            </w:pPr>
            <w:r>
              <w:rPr>
                <w:rFonts w:ascii="Calibri" w:hAnsi="Calibri"/>
                <w:b w:val="0"/>
                <w:i w:val="0"/>
                <w:sz w:val="17"/>
              </w:rPr>
              <w:t>High</w:t>
            </w:r>
          </w:p>
        </w:tc>
        <w:tc>
          <w:tcPr>
            <w:tcW w:type="dxa" w:w="8160"/>
            <w:tcMar>
              <w:top w:w="80" w:type="dxa"/>
              <w:start w:w="120" w:type="dxa"/>
              <w:bottom w:w="80" w:type="dxa"/>
              <w:end w:w="120" w:type="dxa"/>
            </w:tcMar>
            <w:vAlign w:val="top"/>
          </w:tcPr>
          <w:p>
            <w:pPr>
              <w:spacing w:after="0"/>
            </w:pPr>
            <w:r>
              <w:rPr>
                <w:rFonts w:ascii="Calibri" w:hAnsi="Calibri"/>
                <w:b w:val="0"/>
                <w:i w:val="0"/>
                <w:sz w:val="17"/>
              </w:rPr>
              <w:t>Exact current item or exact mapped predecessor plus a public answer, construction, derivation, or substantial/decisive hint.</w:t>
            </w:r>
          </w:p>
        </w:tc>
      </w:tr>
      <w:tr>
        <w:trPr>
          <w:cantSplit w:val="true"/>
        </w:trPr>
        <w:tc>
          <w:tcPr>
            <w:tcW w:type="dxa" w:w="1200"/>
            <w:tcMar>
              <w:top w:w="80" w:type="dxa"/>
              <w:start w:w="120" w:type="dxa"/>
              <w:bottom w:w="80" w:type="dxa"/>
              <w:end w:w="120" w:type="dxa"/>
            </w:tcMar>
            <w:vAlign w:val="top"/>
          </w:tcPr>
          <w:p>
            <w:pPr>
              <w:spacing w:after="0"/>
            </w:pPr>
            <w:r>
              <w:rPr>
                <w:rFonts w:ascii="Calibri" w:hAnsi="Calibri"/>
                <w:b w:val="0"/>
                <w:i w:val="0"/>
                <w:sz w:val="17"/>
              </w:rPr>
              <w:t>Medium</w:t>
            </w:r>
          </w:p>
        </w:tc>
        <w:tc>
          <w:tcPr>
            <w:tcW w:type="dxa" w:w="8160"/>
            <w:tcMar>
              <w:top w:w="80" w:type="dxa"/>
              <w:start w:w="120" w:type="dxa"/>
              <w:bottom w:w="80" w:type="dxa"/>
              <w:end w:w="120" w:type="dxa"/>
            </w:tcMar>
            <w:vAlign w:val="top"/>
          </w:tcPr>
          <w:p>
            <w:pPr>
              <w:spacing w:after="0"/>
            </w:pPr>
            <w:r>
              <w:rPr>
                <w:rFonts w:ascii="Calibri" w:hAnsi="Calibri"/>
                <w:b w:val="0"/>
                <w:i w:val="0"/>
                <w:sz w:val="17"/>
              </w:rPr>
              <w:t>Clear item association but only a candidate, inaccessible answer artifact, or method-level overlap without a verified item-specific result.</w:t>
            </w:r>
          </w:p>
        </w:tc>
      </w:tr>
      <w:tr>
        <w:trPr>
          <w:cantSplit w:val="true"/>
        </w:trPr>
        <w:tc>
          <w:tcPr>
            <w:tcW w:type="dxa" w:w="1200"/>
            <w:tcMar>
              <w:top w:w="80" w:type="dxa"/>
              <w:start w:w="120" w:type="dxa"/>
              <w:bottom w:w="80" w:type="dxa"/>
              <w:end w:w="120" w:type="dxa"/>
            </w:tcMar>
            <w:vAlign w:val="top"/>
          </w:tcPr>
          <w:p>
            <w:pPr>
              <w:spacing w:after="0"/>
            </w:pPr>
            <w:r>
              <w:rPr>
                <w:rFonts w:ascii="Calibri" w:hAnsi="Calibri"/>
                <w:b w:val="0"/>
                <w:i w:val="0"/>
                <w:sz w:val="17"/>
              </w:rPr>
              <w:t>Low</w:t>
            </w:r>
          </w:p>
        </w:tc>
        <w:tc>
          <w:tcPr>
            <w:tcW w:type="dxa" w:w="8160"/>
            <w:tcMar>
              <w:top w:w="80" w:type="dxa"/>
              <w:start w:w="120" w:type="dxa"/>
              <w:bottom w:w="80" w:type="dxa"/>
              <w:end w:w="120" w:type="dxa"/>
            </w:tcMar>
            <w:vAlign w:val="top"/>
          </w:tcPr>
          <w:p>
            <w:pPr>
              <w:spacing w:after="0"/>
            </w:pPr>
            <w:r>
              <w:rPr>
                <w:rFonts w:ascii="Calibri" w:hAnsi="Calibri"/>
                <w:b w:val="0"/>
                <w:i w:val="0"/>
                <w:sz w:val="17"/>
              </w:rPr>
              <w:t>Prompt-only exposure, generic trope, or no substantive match found. Absence is not proof that no source exists.</w:t>
            </w:r>
          </w:p>
        </w:tc>
      </w:tr>
    </w:tbl>
    <w:p>
      <w:r>
        <w:br w:type="page"/>
      </w:r>
    </w:p>
    <w:p>
      <w:pPr>
        <w:pStyle w:val="Heading1"/>
      </w:pPr>
      <w:r>
        <w:t>Core finding map</w:t>
      </w:r>
    </w:p>
    <w:p>
      <w:pPr>
        <w:spacing w:after="100"/>
      </w:pPr>
      <w:r>
        <w:t>The table below consolidates the strongest retained evidence. Source codes are hyperlinked and expanded in Appendix B; the full item-by-item assessment appears in Appendix A.</w:t>
      </w:r>
    </w:p>
    <w:tbl>
      <w:tblPr>
        <w:tblStyle w:val="TableGrid"/>
        <w:tblW w:type="dxa" w:w="9360"/>
        <w:jc w:val="center"/>
        <w:tblLayout w:type="fixed"/>
        <w:tblLook w:firstColumn="1" w:firstRow="1" w:lastColumn="0" w:lastRow="0" w:noHBand="0" w:noVBand="1" w:val="04A0"/>
        <w:tblInd w:w="120" w:type="dxa"/>
      </w:tblPr>
      <w:tblGrid>
        <w:gridCol w:w="900"/>
        <w:gridCol w:w="1600"/>
        <w:gridCol w:w="1500"/>
        <w:gridCol w:w="4360"/>
        <w:gridCol w:w="1000"/>
      </w:tblGrid>
      <w:tr>
        <w:trPr>
          <w:tblHeader w:val="true"/>
          <w:cantSplit w:val="true"/>
        </w:trPr>
        <w:tc>
          <w:tcPr>
            <w:tcW w:type="dxa" w:w="900"/>
            <w:tcMar>
              <w:top w:w="90" w:type="dxa"/>
              <w:start w:w="110" w:type="dxa"/>
              <w:bottom w:w="90" w:type="dxa"/>
              <w:end w:w="110" w:type="dxa"/>
            </w:tcMar>
            <w:vAlign w:val="center"/>
            <w:shd w:fill="F2F4F7"/>
          </w:tcPr>
          <w:p>
            <w:pPr>
              <w:spacing w:after="0"/>
            </w:pPr>
            <w:r>
              <w:rPr>
                <w:rFonts w:ascii="Calibri" w:hAnsi="Calibri"/>
                <w:b/>
                <w:i w:val="0"/>
                <w:color w:val="1F4E79"/>
                <w:sz w:val="16"/>
              </w:rPr>
              <w:t>Item(s)</w:t>
            </w:r>
          </w:p>
        </w:tc>
        <w:tc>
          <w:tcPr>
            <w:tcW w:type="dxa" w:w="1600"/>
            <w:tcMar>
              <w:top w:w="90" w:type="dxa"/>
              <w:start w:w="110" w:type="dxa"/>
              <w:bottom w:w="90" w:type="dxa"/>
              <w:end w:w="110" w:type="dxa"/>
            </w:tcMar>
            <w:vAlign w:val="center"/>
            <w:shd w:fill="F2F4F7"/>
          </w:tcPr>
          <w:p>
            <w:pPr>
              <w:spacing w:after="0"/>
            </w:pPr>
            <w:r>
              <w:rPr>
                <w:rFonts w:ascii="Calibri" w:hAnsi="Calibri"/>
                <w:b/>
                <w:i w:val="0"/>
                <w:color w:val="1F4E79"/>
                <w:sz w:val="16"/>
              </w:rPr>
              <w:t>Match</w:t>
            </w:r>
          </w:p>
        </w:tc>
        <w:tc>
          <w:tcPr>
            <w:tcW w:type="dxa" w:w="1500"/>
            <w:tcMar>
              <w:top w:w="90" w:type="dxa"/>
              <w:start w:w="110" w:type="dxa"/>
              <w:bottom w:w="90" w:type="dxa"/>
              <w:end w:w="110" w:type="dxa"/>
            </w:tcMar>
            <w:vAlign w:val="center"/>
            <w:shd w:fill="F2F4F7"/>
          </w:tcPr>
          <w:p>
            <w:pPr>
              <w:spacing w:after="0"/>
            </w:pPr>
            <w:r>
              <w:rPr>
                <w:rFonts w:ascii="Calibri" w:hAnsi="Calibri"/>
                <w:b/>
                <w:i w:val="0"/>
                <w:color w:val="1F4E79"/>
                <w:sz w:val="16"/>
              </w:rPr>
              <w:t>Source</w:t>
            </w:r>
          </w:p>
        </w:tc>
        <w:tc>
          <w:tcPr>
            <w:tcW w:type="dxa" w:w="4360"/>
            <w:tcMar>
              <w:top w:w="90" w:type="dxa"/>
              <w:start w:w="110" w:type="dxa"/>
              <w:bottom w:w="90" w:type="dxa"/>
              <w:end w:w="110" w:type="dxa"/>
            </w:tcMar>
            <w:vAlign w:val="center"/>
            <w:shd w:fill="F2F4F7"/>
          </w:tcPr>
          <w:p>
            <w:pPr>
              <w:spacing w:after="0"/>
            </w:pPr>
            <w:r>
              <w:rPr>
                <w:rFonts w:ascii="Calibri" w:hAnsi="Calibri"/>
                <w:b/>
                <w:i w:val="0"/>
                <w:color w:val="1F4E79"/>
                <w:sz w:val="16"/>
              </w:rPr>
              <w:t>What is exposed</w:t>
            </w:r>
          </w:p>
        </w:tc>
        <w:tc>
          <w:tcPr>
            <w:tcW w:type="dxa" w:w="1000"/>
            <w:tcMar>
              <w:top w:w="90" w:type="dxa"/>
              <w:start w:w="110" w:type="dxa"/>
              <w:bottom w:w="90" w:type="dxa"/>
              <w:end w:w="110" w:type="dxa"/>
            </w:tcMar>
            <w:vAlign w:val="center"/>
            <w:shd w:fill="F2F4F7"/>
          </w:tcPr>
          <w:p>
            <w:pPr>
              <w:spacing w:after="0"/>
            </w:pPr>
            <w:r>
              <w:rPr>
                <w:rFonts w:ascii="Calibri" w:hAnsi="Calibri"/>
                <w:b/>
                <w:i w:val="0"/>
                <w:color w:val="1F4E79"/>
                <w:sz w:val="16"/>
              </w:rPr>
              <w:t>Conf.</w:t>
            </w:r>
          </w:p>
        </w:tc>
      </w:tr>
      <w:tr>
        <w:trPr>
          <w:cantSplit/>
        </w:trPr>
        <w:tc>
          <w:tcPr>
            <w:tcW w:type="dxa" w:w="900"/>
            <w:vAlign w:val="top"/>
            <w:tcMar>
              <w:top w:w="90" w:type="dxa"/>
              <w:start w:w="110" w:type="dxa"/>
              <w:bottom w:w="90" w:type="dxa"/>
              <w:end w:w="110" w:type="dxa"/>
            </w:tcMar>
          </w:tcPr>
          <w:p>
            <w:pPr>
              <w:spacing w:before="0" w:after="0" w:line="240" w:lineRule="auto"/>
              <w:jc w:val="left"/>
            </w:pPr>
            <w:r>
              <w:rPr>
                <w:rFonts w:ascii="Calibri" w:hAnsi="Calibri"/>
                <w:b w:val="0"/>
                <w:i w:val="0"/>
                <w:sz w:val="15"/>
              </w:rPr>
              <w:t>1, 2, 4, 7, 8, 10-15, 18-26, 29-32, 36</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Substantive answer/hint</w:t>
            </w:r>
          </w:p>
        </w:tc>
        <w:tc>
          <w:tcPr>
            <w:tcW w:type="dxa" w:w="1500"/>
            <w:vAlign w:val="top"/>
            <w:tcMar>
              <w:top w:w="90" w:type="dxa"/>
              <w:start w:w="110" w:type="dxa"/>
              <w:bottom w:w="90" w:type="dxa"/>
              <w:end w:w="110" w:type="dxa"/>
            </w:tcMar>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4">
              <w:r>
                <w:rPr>
                  <w:rFonts w:ascii="Calibri" w:hAnsi="Calibri"/>
                  <w:color w:val="0563C1"/>
                  <w:u w:val="single"/>
                  <w:sz w:val="15"/>
                  <w:szCs w:val="15"/>
                </w:rPr>
                <w:t>T1</w:t>
              </w:r>
            </w:hyperlink>
            <w:r>
              <w:rPr>
                <w:rFonts w:ascii="Calibri" w:hAnsi="Calibri"/>
                <w:b w:val="0"/>
                <w:i w:val="0"/>
                <w:sz w:val="15"/>
              </w:rPr>
              <w:t xml:space="preserve">, </w:t>
            </w:r>
            <w:hyperlink r:id="rId39">
              <w:r>
                <w:rPr>
                  <w:rFonts w:ascii="Calibri" w:hAnsi="Calibri"/>
                  <w:color w:val="0563C1"/>
                  <w:u w:val="single"/>
                  <w:sz w:val="15"/>
                  <w:szCs w:val="15"/>
                </w:rPr>
                <w:t>UL1</w:t>
              </w:r>
            </w:hyperlink>
          </w:p>
        </w:tc>
        <w:tc>
          <w:tcPr>
            <w:tcW w:type="dxa" w:w="4360"/>
            <w:vAlign w:val="top"/>
            <w:tcMar>
              <w:top w:w="90" w:type="dxa"/>
              <w:start w:w="110" w:type="dxa"/>
              <w:bottom w:w="90" w:type="dxa"/>
              <w:end w:w="110" w:type="dxa"/>
            </w:tcMar>
          </w:tcPr>
          <w:p>
            <w:pPr>
              <w:spacing w:before="0" w:after="0" w:line="240" w:lineRule="auto"/>
              <w:jc w:val="left"/>
            </w:pPr>
            <w:r>
              <w:rPr>
                <w:rFonts w:ascii="Calibri" w:hAnsi="Calibri"/>
                <w:b w:val="0"/>
                <w:i w:val="0"/>
                <w:sz w:val="15"/>
              </w:rPr>
              <w:t>25 items have a public construction, derivation, exact candidate, worked equivalent, or decisive item-specific method.</w:t>
            </w:r>
          </w:p>
        </w:tc>
        <w:tc>
          <w:tcPr>
            <w:tcW w:type="dxa" w:w="100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900"/>
            <w:vAlign w:val="center"/>
            <w:tcMar>
              <w:top w:w="90" w:type="dxa"/>
              <w:start w:w="110" w:type="dxa"/>
              <w:bottom w:w="90" w:type="dxa"/>
              <w:end w:w="110" w:type="dxa"/>
            </w:tcMar>
          </w:tcPr>
          <w:p>
            <w:pPr>
              <w:spacing w:before="0" w:after="0" w:line="240" w:lineRule="auto"/>
              <w:jc w:val="left"/>
            </w:pPr>
            <w:r>
              <w:rPr>
                <w:rFonts w:ascii="Calibri" w:hAnsi="Calibri"/>
                <w:b w:val="0"/>
                <w:sz w:val="15"/>
              </w:rPr>
              <w:t>3, 5, 6, 9, 17, 27, 28</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Candidate/method</w:t>
            </w:r>
          </w:p>
        </w:tc>
        <w:tc>
          <w:tcPr>
            <w:tcW w:type="dxa" w:w="1500"/>
            <w:vAlign w:val="center"/>
            <w:tcMar>
              <w:top w:w="90" w:type="dxa"/>
              <w:start w:w="110" w:type="dxa"/>
              <w:bottom w:w="90" w:type="dxa"/>
              <w:end w:w="110" w:type="dxa"/>
            </w:tcMar>
          </w:tcPr>
          <w:p>
            <w:pPr>
              <w:spacing w:before="0" w:after="0" w:line="240" w:lineRule="auto"/>
            </w:pPr>
            <w:hyperlink r:id="rId38">
              <w:r>
                <w:rPr>
                  <w:rFonts w:ascii="Calibri" w:hAnsi="Calibri"/>
                  <w:color w:val="0563C1"/>
                  <w:u w:val="single"/>
                  <w:sz w:val="15"/>
                  <w:szCs w:val="15"/>
                </w:rPr>
                <w:t>ME1</w:t>
              </w:r>
            </w:hyperlink>
            <w:r>
              <w:rPr>
                <w:rFonts w:ascii="Calibri" w:hAnsi="Calibri"/>
                <w:b w:val="0"/>
                <w:sz w:val="15"/>
              </w:rPr>
              <w:t xml:space="preserve">, </w:t>
            </w:r>
            <w:hyperlink r:id="rId14">
              <w:r>
                <w:rPr>
                  <w:rFonts w:ascii="Calibri" w:hAnsi="Calibri"/>
                  <w:color w:val="0563C1"/>
                  <w:u w:val="single"/>
                  <w:sz w:val="15"/>
                  <w:szCs w:val="15"/>
                </w:rPr>
                <w:t>T1</w:t>
              </w:r>
            </w:hyperlink>
            <w:r>
              <w:rPr>
                <w:rFonts w:ascii="Calibri" w:hAnsi="Calibri"/>
                <w:b w:val="0"/>
                <w:sz w:val="15"/>
              </w:rPr>
              <w:t xml:space="preserve">, </w:t>
            </w:r>
            <w:hyperlink r:id="rId39">
              <w:r>
                <w:rPr>
                  <w:rFonts w:ascii="Calibri" w:hAnsi="Calibri"/>
                  <w:color w:val="0563C1"/>
                  <w:u w:val="single"/>
                  <w:sz w:val="15"/>
                  <w:szCs w:val="15"/>
                </w:rPr>
                <w:t>UL1</w:t>
              </w:r>
            </w:hyperlink>
            <w:r>
              <w:rPr>
                <w:rFonts w:ascii="Calibri" w:hAnsi="Calibri"/>
                <w:b w:val="0"/>
                <w:sz w:val="15"/>
              </w:rPr>
              <w:t xml:space="preserve">, </w:t>
            </w:r>
            <w:hyperlink r:id="rId12">
              <w:r>
                <w:rPr>
                  <w:rFonts w:ascii="Calibri" w:hAnsi="Calibri"/>
                  <w:color w:val="0563C1"/>
                  <w:u w:val="single"/>
                  <w:sz w:val="15"/>
                  <w:szCs w:val="15"/>
                </w:rPr>
                <w:t>U3</w:t>
              </w:r>
            </w:hyperlink>
            <w:r>
              <w:rPr>
                <w:rFonts w:ascii="Calibri" w:hAnsi="Calibri"/>
                <w:b w:val="0"/>
                <w:sz w:val="15"/>
              </w:rPr>
              <w:t xml:space="preserve">, </w:t>
            </w:r>
            <w:hyperlink r:id="rId40">
              <w:r>
                <w:rPr>
                  <w:rFonts w:ascii="Calibri" w:hAnsi="Calibri"/>
                  <w:color w:val="0563C1"/>
                  <w:u w:val="single"/>
                  <w:sz w:val="15"/>
                  <w:szCs w:val="15"/>
                </w:rPr>
                <w:t>C2</w:t>
              </w:r>
            </w:hyperlink>
            <w:r>
              <w:rPr>
                <w:rFonts w:ascii="Calibri" w:hAnsi="Calibri"/>
                <w:b w:val="0"/>
                <w:sz w:val="15"/>
              </w:rPr>
              <w:t xml:space="preserve">, </w:t>
            </w:r>
            <w:hyperlink r:id="rId41">
              <w:r>
                <w:rPr>
                  <w:rFonts w:ascii="Calibri" w:hAnsi="Calibri"/>
                  <w:color w:val="0563C1"/>
                  <w:u w:val="single"/>
                  <w:sz w:val="15"/>
                  <w:szCs w:val="15"/>
                </w:rPr>
                <w:t>F4</w:t>
              </w:r>
            </w:hyperlink>
            <w:r>
              <w:rPr>
                <w:rFonts w:ascii="Calibri" w:hAnsi="Calibri"/>
                <w:b w:val="0"/>
                <w:sz w:val="15"/>
              </w:rPr>
              <w:t xml:space="preserve">, </w:t>
            </w:r>
            <w:hyperlink r:id="rId18">
              <w:r>
                <w:rPr>
                  <w:rFonts w:ascii="Calibri" w:hAnsi="Calibri"/>
                  <w:color w:val="0563C1"/>
                  <w:u w:val="single"/>
                  <w:sz w:val="15"/>
                  <w:szCs w:val="15"/>
                </w:rPr>
                <w:t>R2</w:t>
              </w:r>
            </w:hyperlink>
            <w:r>
              <w:rPr>
                <w:rFonts w:ascii="Calibri" w:hAnsi="Calibri"/>
                <w:b w:val="0"/>
                <w:sz w:val="15"/>
              </w:rPr>
              <w:t xml:space="preserve">, </w:t>
            </w:r>
            <w:hyperlink r:id="rId45">
              <w:r>
                <w:rPr>
                  <w:rFonts w:ascii="Calibri" w:hAnsi="Calibri"/>
                  <w:color w:val="0563C1"/>
                  <w:u w:val="single"/>
                  <w:sz w:val="15"/>
                  <w:szCs w:val="15"/>
                </w:rPr>
                <w:t>M4</w:t>
              </w:r>
            </w:hyperlink>
            <w:r>
              <w:rPr>
                <w:rFonts w:ascii="Calibri" w:hAnsi="Calibri"/>
                <w:b w:val="0"/>
                <w:sz w:val="15"/>
              </w:rPr>
              <w:t xml:space="preserve">, </w:t>
            </w:r>
            <w:hyperlink r:id="rId46">
              <w:r>
                <w:rPr>
                  <w:rFonts w:ascii="Calibri" w:hAnsi="Calibri"/>
                  <w:color w:val="0563C1"/>
                  <w:u w:val="single"/>
                  <w:sz w:val="15"/>
                  <w:szCs w:val="15"/>
                </w:rPr>
                <w:t>D2</w:t>
              </w:r>
            </w:hyperlink>
          </w:p>
        </w:tc>
        <w:tc>
          <w:tcPr>
            <w:tcW w:type="dxa" w:w="4360"/>
            <w:vAlign w:val="center"/>
            <w:tcMar>
              <w:top w:w="90" w:type="dxa"/>
              <w:start w:w="110" w:type="dxa"/>
              <w:bottom w:w="90" w:type="dxa"/>
              <w:end w:w="110" w:type="dxa"/>
            </w:tcMar>
          </w:tcPr>
          <w:p>
            <w:pPr>
              <w:spacing w:before="0" w:after="0" w:line="240" w:lineRule="auto"/>
              <w:jc w:val="left"/>
            </w:pPr>
            <w:r>
              <w:rPr>
                <w:rFonts w:ascii="Calibri" w:hAnsi="Calibri"/>
                <w:b w:val="0"/>
                <w:sz w:val="15"/>
              </w:rPr>
              <w:t>Seven items have an exact predecessor/current-item association plus a candidate result, configuration, or method, but incomplete verification.</w:t>
            </w:r>
          </w:p>
        </w:tc>
        <w:tc>
          <w:tcPr>
            <w:tcW w:type="dxa" w:w="100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900"/>
            <w:vAlign w:val="center"/>
            <w:tcMar>
              <w:top w:w="90" w:type="dxa"/>
              <w:start w:w="110" w:type="dxa"/>
              <w:bottom w:w="90" w:type="dxa"/>
              <w:end w:w="110" w:type="dxa"/>
            </w:tcMar>
          </w:tcPr>
          <w:p>
            <w:pPr>
              <w:spacing w:before="0" w:after="0" w:line="240" w:lineRule="auto"/>
              <w:jc w:val="left"/>
            </w:pPr>
            <w:r>
              <w:rPr>
                <w:rFonts w:ascii="Calibri" w:hAnsi="Calibri"/>
                <w:b w:val="0"/>
                <w:sz w:val="15"/>
              </w:rPr>
              <w:t>16, 33-35</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Prompt/no answer</w:t>
            </w:r>
          </w:p>
        </w:tc>
        <w:tc>
          <w:tcPr>
            <w:tcW w:type="dxa" w:w="1500"/>
            <w:vAlign w:val="center"/>
            <w:tcMar>
              <w:top w:w="90" w:type="dxa"/>
              <w:start w:w="110" w:type="dxa"/>
              <w:bottom w:w="90" w:type="dxa"/>
              <w:end w:w="110" w:type="dxa"/>
            </w:tcMar>
          </w:tcPr>
          <w:p>
            <w:pPr>
              <w:spacing w:before="0" w:after="0" w:line="240" w:lineRule="auto"/>
            </w:pPr>
            <w:hyperlink r:id="rId38">
              <w:r>
                <w:rPr>
                  <w:rFonts w:ascii="Calibri" w:hAnsi="Calibri"/>
                  <w:color w:val="0563C1"/>
                  <w:u w:val="single"/>
                  <w:sz w:val="15"/>
                  <w:szCs w:val="15"/>
                </w:rPr>
                <w:t>ME1</w:t>
              </w:r>
            </w:hyperlink>
            <w:r>
              <w:rPr>
                <w:rFonts w:ascii="Calibri" w:hAnsi="Calibri"/>
                <w:b w:val="0"/>
                <w:sz w:val="15"/>
              </w:rPr>
              <w:t xml:space="preserve">, </w:t>
            </w:r>
            <w:hyperlink r:id="rId39">
              <w:r>
                <w:rPr>
                  <w:rFonts w:ascii="Calibri" w:hAnsi="Calibri"/>
                  <w:color w:val="0563C1"/>
                  <w:u w:val="single"/>
                  <w:sz w:val="15"/>
                  <w:szCs w:val="15"/>
                </w:rPr>
                <w:t>UL1</w:t>
              </w:r>
            </w:hyperlink>
          </w:p>
        </w:tc>
        <w:tc>
          <w:tcPr>
            <w:tcW w:type="dxa" w:w="4360"/>
            <w:vAlign w:val="center"/>
            <w:tcMar>
              <w:top w:w="90" w:type="dxa"/>
              <w:start w:w="110" w:type="dxa"/>
              <w:bottom w:w="90" w:type="dxa"/>
              <w:end w:w="110" w:type="dxa"/>
            </w:tcMar>
          </w:tcPr>
          <w:p>
            <w:pPr>
              <w:spacing w:before="0" w:after="0" w:line="240" w:lineRule="auto"/>
              <w:jc w:val="left"/>
            </w:pPr>
            <w:r>
              <w:rPr>
                <w:rFonts w:ascii="Calibri" w:hAnsi="Calibri"/>
                <w:b w:val="0"/>
                <w:sz w:val="15"/>
              </w:rPr>
              <w:t>Four items have an exact predecessor prompt or public reproduction, but no substantive solution was verified.</w:t>
            </w:r>
          </w:p>
        </w:tc>
        <w:tc>
          <w:tcPr>
            <w:tcW w:type="dxa" w:w="1000"/>
            <w:vAlign w:val="top"/>
            <w:tcMar>
              <w:top w:w="90" w:type="dxa"/>
              <w:start w:w="110" w:type="dxa"/>
              <w:bottom w:w="90" w:type="dxa"/>
              <w:end w:w="110" w:type="dxa"/>
            </w:tcMar>
            <w:shd w:fill="E2F0D9"/>
          </w:tcPr>
          <w:p>
            <w:pPr>
              <w:spacing w:before="0" w:after="0" w:line="240" w:lineRule="auto"/>
              <w:jc w:val="center"/>
            </w:pPr>
            <w:r>
              <w:rPr>
                <w:rFonts w:ascii="Calibri" w:hAnsi="Calibri"/>
                <w:b w:val="0"/>
                <w:i w:val="0"/>
                <w:sz w:val="15"/>
              </w:rPr>
              <w:t>Low</w:t>
            </w:r>
          </w:p>
        </w:tc>
      </w:tr>
      <w:tr>
        <w:trPr>
          <w:cantSplit/>
        </w:trPr>
        <w:tc>
          <w:tcPr>
            <w:tcW w:type="dxa" w:w="900"/>
            <w:vAlign w:val="top"/>
            <w:tcMar>
              <w:top w:w="90" w:type="dxa"/>
              <w:start w:w="110" w:type="dxa"/>
              <w:bottom w:w="90" w:type="dxa"/>
              <w:end w:w="110" w:type="dxa"/>
            </w:tcMar>
          </w:tcPr>
          <w:p>
            <w:pPr>
              <w:spacing w:before="0" w:after="0" w:line="240" w:lineRule="auto"/>
              <w:jc w:val="left"/>
            </w:pPr>
            <w:r>
              <w:rPr>
                <w:rFonts w:ascii="Calibri" w:hAnsi="Calibri"/>
                <w:b w:val="0"/>
                <w:i w:val="0"/>
                <w:sz w:val="15"/>
              </w:rPr>
              <w:t>13 items</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Mega -&gt; Power</w:t>
            </w:r>
          </w:p>
        </w:tc>
        <w:tc>
          <w:tcPr>
            <w:tcW w:type="dxa" w:w="1500"/>
            <w:vAlign w:val="top"/>
            <w:tcMar>
              <w:top w:w="90" w:type="dxa"/>
              <w:start w:w="110" w:type="dxa"/>
              <w:bottom w:w="90" w:type="dxa"/>
              <w:end w:w="110" w:type="dxa"/>
            </w:tcMar>
          </w:tcPr>
          <w:p>
            <w:pPr>
              <w:spacing w:before="0" w:after="0" w:line="240" w:lineRule="auto"/>
            </w:pPr>
            <w:hyperlink r:id="rId38">
              <w:r>
                <w:rPr>
                  <w:rFonts w:ascii="Calibri" w:hAnsi="Calibri"/>
                  <w:color w:val="0563C1"/>
                  <w:u w:val="single"/>
                  <w:sz w:val="15"/>
                  <w:szCs w:val="15"/>
                </w:rPr>
                <w:t>ME1</w:t>
              </w:r>
            </w:hyperlink>
          </w:p>
        </w:tc>
        <w:tc>
          <w:tcPr>
            <w:tcW w:type="dxa" w:w="4360"/>
            <w:vAlign w:val="top"/>
            <w:tcMar>
              <w:top w:w="90" w:type="dxa"/>
              <w:start w:w="110" w:type="dxa"/>
              <w:bottom w:w="90" w:type="dxa"/>
              <w:end w:w="110" w:type="dxa"/>
            </w:tcMar>
          </w:tcPr>
          <w:p>
            <w:pPr>
              <w:spacing w:before="0" w:after="0" w:line="240" w:lineRule="auto"/>
              <w:jc w:val="left"/>
            </w:pPr>
            <w:r>
              <w:rPr>
                <w:rFonts w:ascii="Calibri" w:hAnsi="Calibri"/>
                <w:b w:val="0"/>
                <w:i w:val="0"/>
                <w:sz w:val="15"/>
              </w:rPr>
              <w:t>M27-&gt;P1; M28-&gt;P3; M29-&gt;P16; M31-&gt;P9; M32-&gt;P20; M33-&gt;P28; M34-&gt;P8; M35-&gt;P12; M36-&gt;P26; M37-&gt;P17; M38-&gt;P14; M39-&gt;P18; M41-&gt;P15.</w:t>
            </w:r>
          </w:p>
        </w:tc>
        <w:tc>
          <w:tcPr>
            <w:tcW w:type="dxa" w:w="1000"/>
            <w:vAlign w:val="top"/>
            <w:tcMar>
              <w:top w:w="90" w:type="dxa"/>
              <w:start w:w="110" w:type="dxa"/>
              <w:bottom w:w="90" w:type="dxa"/>
              <w:end w:w="110" w:type="dxa"/>
            </w:tcMar>
            <w:shd w:fill="DDEBF7"/>
          </w:tcPr>
          <w:p>
            <w:pPr>
              <w:spacing w:before="0" w:after="0" w:line="240" w:lineRule="auto"/>
              <w:jc w:val="center"/>
            </w:pPr>
            <w:r>
              <w:rPr>
                <w:rFonts w:ascii="Calibri" w:hAnsi="Calibri"/>
                <w:b w:val="0"/>
                <w:i w:val="0"/>
                <w:sz w:val="15"/>
              </w:rPr>
              <w:t>Map</w:t>
            </w:r>
          </w:p>
        </w:tc>
      </w:tr>
      <w:tr>
        <w:trPr>
          <w:cantSplit/>
        </w:trPr>
        <w:tc>
          <w:tcPr>
            <w:tcW w:type="dxa" w:w="900"/>
            <w:vAlign w:val="top"/>
            <w:tcMar>
              <w:top w:w="90" w:type="dxa"/>
              <w:start w:w="110" w:type="dxa"/>
              <w:bottom w:w="90" w:type="dxa"/>
              <w:end w:w="110" w:type="dxa"/>
            </w:tcMar>
          </w:tcPr>
          <w:p>
            <w:pPr>
              <w:spacing w:before="0" w:after="0" w:line="240" w:lineRule="auto"/>
              <w:jc w:val="left"/>
            </w:pPr>
            <w:r>
              <w:rPr>
                <w:rFonts w:ascii="Calibri" w:hAnsi="Calibri"/>
                <w:b w:val="0"/>
                <w:i w:val="0"/>
                <w:sz w:val="15"/>
              </w:rPr>
              <w:t>15 items</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Titan -&gt; Power</w:t>
            </w:r>
          </w:p>
        </w:tc>
        <w:tc>
          <w:tcPr>
            <w:tcW w:type="dxa" w:w="1500"/>
            <w:vAlign w:val="top"/>
            <w:tcMar>
              <w:top w:w="90" w:type="dxa"/>
              <w:start w:w="110" w:type="dxa"/>
              <w:bottom w:w="90" w:type="dxa"/>
              <w:end w:w="110" w:type="dxa"/>
            </w:tcMar>
          </w:tcPr>
          <w:p>
            <w:pPr>
              <w:spacing w:before="0" w:after="0" w:line="240" w:lineRule="auto"/>
            </w:pPr>
            <w:hyperlink r:id="rId14">
              <w:r>
                <w:rPr>
                  <w:rFonts w:ascii="Calibri" w:hAnsi="Calibri"/>
                  <w:color w:val="0563C1"/>
                  <w:u w:val="single"/>
                  <w:sz w:val="15"/>
                  <w:szCs w:val="15"/>
                </w:rPr>
                <w:t>T1</w:t>
              </w:r>
            </w:hyperlink>
          </w:p>
        </w:tc>
        <w:tc>
          <w:tcPr>
            <w:tcW w:type="dxa" w:w="4360"/>
            <w:vAlign w:val="top"/>
            <w:tcMar>
              <w:top w:w="90" w:type="dxa"/>
              <w:start w:w="110" w:type="dxa"/>
              <w:bottom w:w="90" w:type="dxa"/>
              <w:end w:w="110" w:type="dxa"/>
            </w:tcMar>
          </w:tcPr>
          <w:p>
            <w:pPr>
              <w:spacing w:before="0" w:after="0" w:line="240" w:lineRule="auto"/>
              <w:jc w:val="left"/>
            </w:pPr>
            <w:r>
              <w:rPr>
                <w:rFonts w:ascii="Calibri" w:hAnsi="Calibri"/>
                <w:b w:val="0"/>
                <w:i w:val="0"/>
                <w:sz w:val="15"/>
              </w:rPr>
              <w:t>T25-&gt;P2; T28-&gt;P7; T29-&gt;P19; T30-&gt;P29; T31-&gt;P10; T32-&gt;P11; T33-&gt;P13; T34-&gt;P4; T35-&gt;P27; T36-&gt;P25; T37-&gt;P31; T38-&gt;P21; T39-&gt;P22; T40-&gt;P23; T41-&gt;P24.</w:t>
            </w:r>
          </w:p>
        </w:tc>
        <w:tc>
          <w:tcPr>
            <w:tcW w:type="dxa" w:w="1000"/>
            <w:vAlign w:val="top"/>
            <w:tcMar>
              <w:top w:w="90" w:type="dxa"/>
              <w:start w:w="110" w:type="dxa"/>
              <w:bottom w:w="90" w:type="dxa"/>
              <w:end w:w="110" w:type="dxa"/>
            </w:tcMar>
            <w:shd w:fill="DDEBF7"/>
          </w:tcPr>
          <w:p>
            <w:pPr>
              <w:spacing w:before="0" w:after="0" w:line="240" w:lineRule="auto"/>
              <w:jc w:val="center"/>
            </w:pPr>
            <w:r>
              <w:rPr>
                <w:rFonts w:ascii="Calibri" w:hAnsi="Calibri"/>
                <w:b w:val="0"/>
                <w:i w:val="0"/>
                <w:sz w:val="15"/>
              </w:rPr>
              <w:t>Map</w:t>
            </w:r>
          </w:p>
        </w:tc>
      </w:tr>
      <w:tr>
        <w:trPr>
          <w:cantSplit/>
        </w:trPr>
        <w:tc>
          <w:tcPr>
            <w:tcW w:type="dxa" w:w="900"/>
            <w:vAlign w:val="top"/>
            <w:tcMar>
              <w:top w:w="90" w:type="dxa"/>
              <w:start w:w="110" w:type="dxa"/>
              <w:bottom w:w="90" w:type="dxa"/>
              <w:end w:w="110" w:type="dxa"/>
            </w:tcMar>
          </w:tcPr>
          <w:p>
            <w:pPr>
              <w:spacing w:before="0" w:after="0" w:line="240" w:lineRule="auto"/>
              <w:jc w:val="left"/>
            </w:pPr>
            <w:r>
              <w:rPr>
                <w:rFonts w:ascii="Calibri" w:hAnsi="Calibri"/>
                <w:b w:val="0"/>
                <w:i w:val="0"/>
                <w:sz w:val="15"/>
              </w:rPr>
              <w:t>7 items</w:t>
            </w:r>
          </w:p>
        </w:tc>
        <w:tc>
          <w:tcPr>
            <w:tcW w:type="dxa" w:w="1600"/>
            <w:vAlign w:val="top"/>
            <w:tcMar>
              <w:top w:w="90" w:type="dxa"/>
              <w:start w:w="110" w:type="dxa"/>
              <w:bottom w:w="90" w:type="dxa"/>
              <w:end w:w="110" w:type="dxa"/>
            </w:tcMar>
          </w:tcPr>
          <w:p>
            <w:pPr>
              <w:spacing w:before="0" w:after="0" w:line="240" w:lineRule="auto"/>
              <w:jc w:val="left"/>
            </w:pPr>
            <w:r>
              <w:rPr>
                <w:rFonts w:ascii="Calibri" w:hAnsi="Calibri"/>
                <w:b w:val="0"/>
                <w:i w:val="0"/>
                <w:sz w:val="15"/>
              </w:rPr>
              <w:t>Ultra -&gt; Power</w:t>
            </w:r>
          </w:p>
        </w:tc>
        <w:tc>
          <w:tcPr>
            <w:tcW w:type="dxa" w:w="1500"/>
            <w:vAlign w:val="top"/>
            <w:tcMar>
              <w:top w:w="90" w:type="dxa"/>
              <w:start w:w="110" w:type="dxa"/>
              <w:bottom w:w="90" w:type="dxa"/>
              <w:end w:w="110" w:type="dxa"/>
            </w:tcMar>
          </w:tcPr>
          <w:p>
            <w:pPr>
              <w:spacing w:before="0" w:after="0" w:line="240" w:lineRule="auto"/>
            </w:pPr>
            <w:hyperlink r:id="rId39">
              <w:r>
                <w:rPr>
                  <w:rFonts w:ascii="Calibri" w:hAnsi="Calibri"/>
                  <w:color w:val="0563C1"/>
                  <w:u w:val="single"/>
                  <w:sz w:val="15"/>
                  <w:szCs w:val="15"/>
                </w:rPr>
                <w:t>UL1</w:t>
              </w:r>
            </w:hyperlink>
          </w:p>
        </w:tc>
        <w:tc>
          <w:tcPr>
            <w:tcW w:type="dxa" w:w="4360"/>
            <w:vAlign w:val="top"/>
            <w:tcMar>
              <w:top w:w="90" w:type="dxa"/>
              <w:start w:w="110" w:type="dxa"/>
              <w:bottom w:w="90" w:type="dxa"/>
              <w:end w:w="110" w:type="dxa"/>
            </w:tcMar>
          </w:tcPr>
          <w:p>
            <w:pPr>
              <w:spacing w:before="0" w:after="0" w:line="240" w:lineRule="auto"/>
              <w:jc w:val="left"/>
            </w:pPr>
            <w:r>
              <w:rPr>
                <w:rFonts w:ascii="Calibri" w:hAnsi="Calibri"/>
                <w:b w:val="0"/>
                <w:i w:val="0"/>
                <w:sz w:val="15"/>
              </w:rPr>
              <w:t>U40-&gt;P30; U43-&gt;P5; U44-&gt;P6; U50-&gt;P32; U52-&gt;P33; U53-&gt;P35; U54-&gt;P34.</w:t>
            </w:r>
          </w:p>
        </w:tc>
        <w:tc>
          <w:tcPr>
            <w:tcW w:type="dxa" w:w="1000"/>
            <w:vAlign w:val="top"/>
            <w:tcMar>
              <w:top w:w="90" w:type="dxa"/>
              <w:start w:w="110" w:type="dxa"/>
              <w:bottom w:w="90" w:type="dxa"/>
              <w:end w:w="110" w:type="dxa"/>
            </w:tcMar>
            <w:shd w:fill="DDEBF7"/>
          </w:tcPr>
          <w:p>
            <w:pPr>
              <w:spacing w:before="0" w:after="0" w:line="240" w:lineRule="auto"/>
              <w:jc w:val="center"/>
            </w:pPr>
            <w:r>
              <w:rPr>
                <w:rFonts w:ascii="Calibri" w:hAnsi="Calibri"/>
                <w:b w:val="0"/>
                <w:i w:val="0"/>
                <w:sz w:val="15"/>
              </w:rPr>
              <w:t>Map</w:t>
            </w:r>
          </w:p>
        </w:tc>
      </w:tr>
    </w:tbl>
    <w:p>
      <w:pPr>
        <w:pStyle w:val="Heading2"/>
      </w:pPr>
      <w:r>
        <w:t>Assessment for a prior-exposure review</w:t>
      </w:r>
    </w:p>
    <w:p>
      <w:r>
        <w:rPr>
          <w:rFonts w:ascii="Calibri" w:hAnsi="Calibri"/>
          <w:b/>
          <w:i w:val="0"/>
          <w:color w:val="1F4E79"/>
          <w:sz w:val="19"/>
        </w:rPr>
        <w:t xml:space="preserve">The evidence supports opportunity, not actual access. </w:t>
      </w:r>
      <w:r>
        <w:rPr>
          <w:rFonts w:ascii="Calibri" w:hAnsi="Calibri"/>
          <w:b w:val="0"/>
          <w:i w:val="0"/>
          <w:sz w:val="19"/>
        </w:rPr>
        <w:t>A test-taker's exposure should be evaluated item by item and chronologically: whether a source predated the attempt, whether the person attempted or reviewed a predecessor test, whether a source contained a verified answer or only a method/candidate, and whether submitted work shows source-specific phrasing or an independently reproducible derivation. The concentrated Titan thread is especially material, while the Mega and Ultra carryover maps show that predecessor-test access can transfer even when the current Power wording was not searched directly.</w:t>
      </w:r>
      <w:r>
        <w:rPr>
          <w:rFonts w:ascii="Calibri" w:hAnsi="Calibri"/>
          <w:b w:val="0"/>
          <w:i w:val="0"/>
          <w:sz w:val="19"/>
        </w:rPr>
        <w:t xml:space="preserve"> Separately, a scenario analysis estimates that a frontier multimodal LLM with public-source browsing, image input and code execution could plausibly solve all seven medium items and three of four low items. This is a forecast, not an item-level experiment, and does not itself change an exposure grade.</w:t>
      </w:r>
    </w:p>
    <w:p>
      <w:pPr>
        <w:pStyle w:val="Heading2"/>
      </w:pPr>
      <w:r>
        <w:t>Recommended handling</w:t>
      </w:r>
    </w:p>
    <w:p>
      <w:pPr>
        <w:pStyle w:val="ListBullet"/>
        <w:spacing w:after="50"/>
        <w:ind w:left="288" w:hanging="202"/>
      </w:pPr>
      <w:r>
        <w:rPr>
          <w:rFonts w:ascii="Calibri" w:hAnsi="Calibri"/>
          <w:b w:val="0"/>
          <w:i w:val="0"/>
          <w:sz w:val="17"/>
        </w:rPr>
        <w:t>Preserve dated copies; compare only sources predating the attempt; posts and image hosts can change.</w:t>
      </w:r>
    </w:p>
    <w:p>
      <w:pPr>
        <w:pStyle w:val="ListBullet"/>
        <w:spacing w:after="50"/>
        <w:ind w:left="288" w:hanging="202"/>
      </w:pPr>
      <w:r>
        <w:rPr>
          <w:rFonts w:ascii="Calibri" w:hAnsi="Calibri"/>
          <w:b w:val="0"/>
          <w:i w:val="0"/>
          <w:sz w:val="17"/>
        </w:rPr>
        <w:t>Request derivations on high-confidence items and distinguish source-specific steps from standard textbook methods.</w:t>
      </w:r>
    </w:p>
    <w:p>
      <w:pPr>
        <w:pStyle w:val="ListBullet"/>
        <w:spacing w:after="50"/>
        <w:ind w:left="288" w:hanging="202"/>
      </w:pPr>
      <w:r>
        <w:rPr>
          <w:rFonts w:ascii="Calibri" w:hAnsi="Calibri"/>
          <w:b w:val="0"/>
          <w:i w:val="0"/>
          <w:sz w:val="17"/>
        </w:rPr>
        <w:t>Treat forum totals as exposure evidence, not an official key; items 13 and 26 contain competing/disputed answers.</w:t>
      </w:r>
    </w:p>
    <w:tbl>
      <w:tblPr>
        <w:tblW w:type="dxa" w:w="9360"/>
        <w:jc w:val="center"/>
        <w:tblLayout w:type="fixed"/>
        <w:tblLook w:firstColumn="1" w:firstRow="1" w:lastColumn="0" w:lastRow="0" w:noHBand="0" w:noVBand="1" w:val="04A0"/>
      </w:tblPr>
      <w:tblGrid>
        <w:gridCol w:w="9936"/>
      </w:tblGrid>
      <w:tr>
        <w:tc>
          <w:tcPr>
            <w:tcW w:type="dxa" w:w="9936"/>
            <w:shd w:fill="EAF2F8"/>
            <w:tcMar>
              <w:top w:w="110" w:type="dxa"/>
              <w:start w:w="150" w:type="dxa"/>
              <w:bottom w:w="110" w:type="dxa"/>
              <w:end w:w="150" w:type="dxa"/>
            </w:tcMar>
          </w:tcPr>
          <w:p>
            <w:pPr>
              <w:spacing w:after="0"/>
            </w:pPr>
            <w:r>
              <w:rPr>
                <w:rFonts w:ascii="Calibri" w:hAnsi="Calibri"/>
                <w:b/>
                <w:i w:val="0"/>
                <w:color w:val="1F4E79"/>
                <w:sz w:val="18"/>
              </w:rPr>
              <w:t xml:space="preserve">Bottom line.  </w:t>
            </w:r>
            <w:r>
              <w:rPr>
                <w:rFonts w:ascii="Calibri" w:hAnsi="Calibri"/>
                <w:b w:val="0"/>
                <w:i w:val="0"/>
                <w:sz w:val="18"/>
              </w:rPr>
              <w:t>The predecessor comparison maps 35 of 36 Power items and raises the supported exposure count to 25 high-confidence and seven medium-confidence items. This is a substantial, dated opportunity for prior exposure, but it does not establish that a particular individual used any source or that every public candidate answer is correct.</w:t>
            </w:r>
          </w:p>
        </w:tc>
      </w:tr>
    </w:tbl>
    <w:p>
      <w:pPr>
        <w:spacing w:after="0"/>
      </w:pPr>
    </w:p>
    <w:p>
      <w:pPr>
        <w:sectPr>
          <w:headerReference w:type="default" r:id="rId9"/>
          <w:footerReference w:type="default" r:id="rId10"/>
          <w:pgSz w:w="12240" w:h="15840"/>
          <w:pgMar w:top="1037" w:right="1152" w:bottom="936" w:left="1152" w:header="360" w:footer="432" w:gutter="0"/>
          <w:cols w:space="720"/>
          <w:docGrid w:linePitch="360"/>
        </w:sectPr>
      </w:pPr>
    </w:p>
    <w:p>
      <w:pPr>
        <w:pStyle w:val="Heading1"/>
      </w:pPr>
      <w:r>
        <w:t>Appendix A — Full 36-item exposure matrix</w:t>
      </w:r>
    </w:p>
    <w:p>
      <w:pPr>
        <w:spacing w:after="100"/>
      </w:pPr>
      <w:r>
        <w:t>Short quotes identify items without reproducing the full test. Source codes link to public pages. Numerical answers are intentionally omitted.</w:t>
      </w:r>
    </w:p>
    <w:tbl>
      <w:tblPr>
        <w:tblStyle w:val="TableGrid"/>
        <w:tblW w:type="dxa" w:w="13700"/>
        <w:jc w:val="center"/>
        <w:tblLayout w:type="fixed"/>
        <w:tblLook w:firstColumn="1" w:firstRow="1" w:lastColumn="0" w:lastRow="0" w:noHBand="0" w:noVBand="1" w:val="04A0"/>
        <w:tblInd w:w="120" w:type="dxa"/>
      </w:tblPr>
      <w:tblGrid>
        <w:gridCol w:w="500"/>
        <w:gridCol w:w="2600"/>
        <w:gridCol w:w="1800"/>
        <w:gridCol w:w="1350"/>
        <w:gridCol w:w="6350"/>
        <w:gridCol w:w="1100"/>
      </w:tblGrid>
      <w:tr>
        <w:trPr>
          <w:tblHeader w:val="true"/>
          <w:cantSplit w:val="true"/>
        </w:trPr>
        <w:tc>
          <w:tcPr>
            <w:tcW w:type="dxa" w:w="500"/>
            <w:tcMar>
              <w:top w:w="90" w:type="dxa"/>
              <w:start w:w="110" w:type="dxa"/>
              <w:bottom w:w="90" w:type="dxa"/>
              <w:end w:w="110" w:type="dxa"/>
            </w:tcMar>
            <w:vAlign w:val="center"/>
            <w:shd w:fill="F2F4F7"/>
          </w:tcPr>
          <w:p>
            <w:pPr>
              <w:spacing w:after="0"/>
            </w:pPr>
            <w:r>
              <w:rPr>
                <w:rFonts w:ascii="Calibri" w:hAnsi="Calibri"/>
                <w:b/>
                <w:i w:val="0"/>
                <w:color w:val="1F4E79"/>
                <w:sz w:val="16"/>
              </w:rPr>
              <w:t>No.</w:t>
            </w:r>
          </w:p>
        </w:tc>
        <w:tc>
          <w:tcPr>
            <w:tcW w:type="dxa" w:w="2600"/>
            <w:tcMar>
              <w:top w:w="90" w:type="dxa"/>
              <w:start w:w="110" w:type="dxa"/>
              <w:bottom w:w="90" w:type="dxa"/>
              <w:end w:w="110" w:type="dxa"/>
            </w:tcMar>
            <w:vAlign w:val="center"/>
            <w:shd w:fill="F2F4F7"/>
          </w:tcPr>
          <w:p>
            <w:pPr>
              <w:spacing w:after="0"/>
            </w:pPr>
            <w:r>
              <w:rPr>
                <w:rFonts w:ascii="Calibri" w:hAnsi="Calibri"/>
                <w:b/>
                <w:i w:val="0"/>
                <w:color w:val="1F4E79"/>
                <w:sz w:val="16"/>
              </w:rPr>
              <w:t>First line / short quote</w:t>
            </w:r>
          </w:p>
        </w:tc>
        <w:tc>
          <w:tcPr>
            <w:tcW w:type="dxa" w:w="1800"/>
            <w:tcMar>
              <w:top w:w="90" w:type="dxa"/>
              <w:start w:w="110" w:type="dxa"/>
              <w:bottom w:w="90" w:type="dxa"/>
              <w:end w:w="110" w:type="dxa"/>
            </w:tcMar>
            <w:vAlign w:val="center"/>
            <w:shd w:fill="F2F4F7"/>
          </w:tcPr>
          <w:p>
            <w:pPr>
              <w:spacing w:after="0"/>
            </w:pPr>
            <w:r>
              <w:rPr>
                <w:rFonts w:ascii="Calibri" w:hAnsi="Calibri"/>
                <w:b/>
                <w:i w:val="0"/>
                <w:color w:val="1F4E79"/>
                <w:sz w:val="16"/>
              </w:rPr>
              <w:t>Match type</w:t>
            </w:r>
          </w:p>
        </w:tc>
        <w:tc>
          <w:tcPr>
            <w:tcW w:type="dxa" w:w="1350"/>
            <w:tcMar>
              <w:top w:w="90" w:type="dxa"/>
              <w:start w:w="110" w:type="dxa"/>
              <w:bottom w:w="90" w:type="dxa"/>
              <w:end w:w="110" w:type="dxa"/>
            </w:tcMar>
            <w:vAlign w:val="center"/>
            <w:shd w:fill="F2F4F7"/>
          </w:tcPr>
          <w:p>
            <w:pPr>
              <w:spacing w:after="0"/>
            </w:pPr>
            <w:r>
              <w:rPr>
                <w:rFonts w:ascii="Calibri" w:hAnsi="Calibri"/>
                <w:b/>
                <w:i w:val="0"/>
                <w:color w:val="1F4E79"/>
                <w:sz w:val="16"/>
              </w:rPr>
              <w:t>Source</w:t>
            </w:r>
          </w:p>
        </w:tc>
        <w:tc>
          <w:tcPr>
            <w:tcW w:type="dxa" w:w="6350"/>
            <w:tcMar>
              <w:top w:w="90" w:type="dxa"/>
              <w:start w:w="110" w:type="dxa"/>
              <w:bottom w:w="90" w:type="dxa"/>
              <w:end w:w="110" w:type="dxa"/>
            </w:tcMar>
            <w:vAlign w:val="center"/>
            <w:shd w:fill="F2F4F7"/>
          </w:tcPr>
          <w:p>
            <w:pPr>
              <w:spacing w:after="0"/>
            </w:pPr>
            <w:r>
              <w:rPr>
                <w:rFonts w:ascii="Calibri" w:hAnsi="Calibri"/>
                <w:b/>
                <w:i w:val="0"/>
                <w:color w:val="1F4E79"/>
                <w:sz w:val="16"/>
              </w:rPr>
              <w:t>Exposure evidence / assessment</w:t>
            </w:r>
          </w:p>
        </w:tc>
        <w:tc>
          <w:tcPr>
            <w:tcW w:type="dxa" w:w="1100"/>
            <w:tcMar>
              <w:top w:w="90" w:type="dxa"/>
              <w:start w:w="110" w:type="dxa"/>
              <w:bottom w:w="90" w:type="dxa"/>
              <w:end w:w="110" w:type="dxa"/>
            </w:tcMar>
            <w:vAlign w:val="center"/>
            <w:shd w:fill="F2F4F7"/>
          </w:tcPr>
          <w:p>
            <w:pPr>
              <w:spacing w:after="0"/>
            </w:pPr>
            <w:r>
              <w:rPr>
                <w:rFonts w:ascii="Calibri" w:hAnsi="Calibri"/>
                <w:b/>
                <w:i w:val="0"/>
                <w:color w:val="1F4E79"/>
                <w:sz w:val="16"/>
              </w:rPr>
              <w:t>Conf.</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w:t>
            </w:r>
          </w:p>
        </w:tc>
        <w:tc>
          <w:tcPr>
            <w:tcW w:type="dxa" w:w="2600"/>
            <w:tcMar>
              <w:top w:w="90" w:type="dxa"/>
              <w:start w:w="110" w:type="dxa"/>
              <w:bottom w:w="90" w:type="dxa"/>
              <w:end w:w="110" w:type="dxa"/>
            </w:tcMar>
            <w:vAlign w:val="top"/>
          </w:tcPr>
          <w:p>
            <w:pPr>
              <w:spacing w:after="0"/>
            </w:pPr>
            <w:r>
              <w:rPr>
                <w:rFonts w:ascii="Calibri" w:hAnsi="Calibri"/>
                <w:b w:val="0"/>
                <w:i w:val="0"/>
                <w:sz w:val="15"/>
              </w:rPr>
              <w:t>“minimum number of square sheets…” (pattern 1)</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predecessor/current item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2">
              <w:r>
                <w:rPr>
                  <w:rFonts w:ascii="Calibri" w:hAnsi="Calibri"/>
                  <w:color w:val="0563C1"/>
                  <w:u w:val="single"/>
                  <w:sz w:val="15"/>
                  <w:szCs w:val="15"/>
                </w:rPr>
                <w:t>U3</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27 is the same item. The 2009 thread publishes a construction and candidate minimum; the public evidence is answer-level even though a formal minimality proof is not shown.</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w:t>
            </w:r>
          </w:p>
        </w:tc>
        <w:tc>
          <w:tcPr>
            <w:tcW w:type="dxa" w:w="2600"/>
            <w:tcMar>
              <w:top w:w="90" w:type="dxa"/>
              <w:start w:w="110" w:type="dxa"/>
              <w:bottom w:w="90" w:type="dxa"/>
              <w:end w:w="110" w:type="dxa"/>
            </w:tcMar>
            <w:vAlign w:val="top"/>
          </w:tcPr>
          <w:p>
            <w:pPr>
              <w:spacing w:after="0"/>
            </w:pPr>
            <w:r>
              <w:rPr>
                <w:rFonts w:ascii="Calibri" w:hAnsi="Calibri"/>
                <w:b w:val="0"/>
                <w:i w:val="0"/>
                <w:sz w:val="15"/>
              </w:rPr>
              <w:t>“As in the foregoing problem…” (pattern 2)</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25 is explicitly mapped to Power 2; public answer thread supplies a construction/result.</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w:t>
            </w:r>
          </w:p>
        </w:tc>
        <w:tc>
          <w:tcPr>
            <w:tcW w:type="dxa" w:w="2600"/>
            <w:tcMar>
              <w:top w:w="90" w:type="dxa"/>
              <w:start w:w="110" w:type="dxa"/>
              <w:bottom w:w="90" w:type="dxa"/>
              <w:end w:w="110" w:type="dxa"/>
            </w:tcMar>
            <w:vAlign w:val="top"/>
          </w:tcPr>
          <w:p>
            <w:pPr>
              <w:spacing w:after="0"/>
            </w:pPr>
            <w:r>
              <w:rPr>
                <w:rFonts w:ascii="Calibri" w:hAnsi="Calibri"/>
                <w:b w:val="0"/>
                <w:i w:val="0"/>
                <w:sz w:val="15"/>
              </w:rPr>
              <w:t>“three intersecting rectangles…”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 construction hint</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40">
              <w:r>
                <w:rPr>
                  <w:rFonts w:ascii="Calibri" w:hAnsi="Calibri"/>
                  <w:color w:val="0563C1"/>
                  <w:u w:val="single"/>
                  <w:sz w:val="15"/>
                  <w:szCs w:val="15"/>
                </w:rPr>
                <w:t>C2</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28 is identical. A 2017 compilation shows a three-rectangle configuration with a stated bounded-area count, establishing a lower bound but not maximality.</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4</w:t>
            </w:r>
          </w:p>
        </w:tc>
        <w:tc>
          <w:tcPr>
            <w:tcW w:type="dxa" w:w="2600"/>
            <w:tcMar>
              <w:top w:w="90" w:type="dxa"/>
              <w:start w:w="110" w:type="dxa"/>
              <w:bottom w:w="90" w:type="dxa"/>
              <w:end w:w="110" w:type="dxa"/>
            </w:tcMar>
            <w:vAlign w:val="top"/>
          </w:tcPr>
          <w:p>
            <w:pPr>
              <w:spacing w:after="0"/>
            </w:pPr>
            <w:r>
              <w:rPr>
                <w:rFonts w:ascii="Calibri" w:hAnsi="Calibri"/>
                <w:b w:val="0"/>
                <w:i w:val="0"/>
                <w:sz w:val="15"/>
              </w:rPr>
              <w:t>“three circles plus two triangles”</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34 is explicitly mapped to Power 4; the answer thread contains a worked construction/result.</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5</w:t>
            </w:r>
          </w:p>
        </w:tc>
        <w:tc>
          <w:tcPr>
            <w:tcW w:type="dxa" w:w="2600"/>
            <w:tcMar>
              <w:top w:w="90" w:type="dxa"/>
              <w:start w:w="110" w:type="dxa"/>
              <w:bottom w:w="90" w:type="dxa"/>
              <w:end w:w="110" w:type="dxa"/>
            </w:tcMar>
            <w:vAlign w:val="top"/>
          </w:tcPr>
          <w:p>
            <w:pPr>
              <w:spacing w:after="0"/>
            </w:pPr>
            <w:r>
              <w:rPr>
                <w:rFonts w:ascii="Calibri" w:hAnsi="Calibri"/>
                <w:b w:val="0"/>
                <w:i w:val="0"/>
                <w:sz w:val="15"/>
              </w:rPr>
              <w:t>“lightbulbs… two… dodecahedron”</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partial/method</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r>
              <w:rPr>
                <w:rFonts w:ascii="Calibri" w:hAnsi="Calibri"/>
                <w:b w:val="0"/>
                <w:i w:val="0"/>
                <w:sz w:val="15"/>
              </w:rPr>
              <w:t xml:space="preserve">, </w:t>
            </w:r>
            <w:hyperlink r:id="rId17">
              <w:r>
                <w:rPr>
                  <w:rFonts w:ascii="Calibri" w:hAnsi="Calibri"/>
                  <w:color w:val="0563C1"/>
                  <w:u w:val="single"/>
                  <w:sz w:val="15"/>
                  <w:szCs w:val="15"/>
                </w:rPr>
                <w:t>R1</w:t>
              </w:r>
            </w:hyperlink>
            <w:r>
              <w:rPr>
                <w:rFonts w:ascii="Calibri" w:hAnsi="Calibri"/>
                <w:b w:val="0"/>
                <w:i w:val="0"/>
                <w:sz w:val="15"/>
              </w:rPr>
              <w:t xml:space="preserve">, </w:t>
            </w:r>
            <w:hyperlink r:id="rId18">
              <w:r>
                <w:rPr>
                  <w:rFonts w:ascii="Calibri" w:hAnsi="Calibri"/>
                  <w:color w:val="0563C1"/>
                  <w:u w:val="single"/>
                  <w:sz w:val="15"/>
                  <w:szCs w:val="15"/>
                </w:rPr>
                <w:t>R2</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43 explicitly cross-references Power 5. Public material exposes an answer-image label and the Burnside/Polya route; no accessible verified item-specific calculation was found.</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6</w:t>
            </w:r>
          </w:p>
        </w:tc>
        <w:tc>
          <w:tcPr>
            <w:tcW w:type="dxa" w:w="2600"/>
            <w:tcMar>
              <w:top w:w="90" w:type="dxa"/>
              <w:start w:w="110" w:type="dxa"/>
              <w:bottom w:w="90" w:type="dxa"/>
              <w:end w:w="110" w:type="dxa"/>
            </w:tcMar>
            <w:vAlign w:val="top"/>
          </w:tcPr>
          <w:p>
            <w:pPr>
              <w:spacing w:after="0"/>
            </w:pPr>
            <w:r>
              <w:rPr>
                <w:rFonts w:ascii="Calibri" w:hAnsi="Calibri"/>
                <w:b w:val="0"/>
                <w:i w:val="0"/>
                <w:sz w:val="15"/>
              </w:rPr>
              <w:t>“three… vertices… icosahedron”</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method</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r>
              <w:rPr>
                <w:rFonts w:ascii="Calibri" w:hAnsi="Calibri"/>
                <w:b w:val="0"/>
                <w:i w:val="0"/>
                <w:sz w:val="15"/>
              </w:rPr>
              <w:t xml:space="preserve">, </w:t>
            </w:r>
            <w:hyperlink r:id="rId18">
              <w:r>
                <w:rPr>
                  <w:rFonts w:ascii="Calibri" w:hAnsi="Calibri"/>
                  <w:color w:val="0563C1"/>
                  <w:u w:val="single"/>
                  <w:sz w:val="15"/>
                  <w:szCs w:val="15"/>
                </w:rPr>
                <w:t>R2</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44 explicitly cross-references Power 6. A public discussion identifies the Burnside/Polya route, but no exact independent worked value was verified.</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7</w:t>
            </w:r>
          </w:p>
        </w:tc>
        <w:tc>
          <w:tcPr>
            <w:tcW w:type="dxa" w:w="2600"/>
            <w:tcMar>
              <w:top w:w="90" w:type="dxa"/>
              <w:start w:w="110" w:type="dxa"/>
              <w:bottom w:w="90" w:type="dxa"/>
              <w:end w:w="110" w:type="dxa"/>
            </w:tcMar>
            <w:vAlign w:val="top"/>
          </w:tcPr>
          <w:p>
            <w:pPr>
              <w:spacing w:after="0"/>
            </w:pPr>
            <w:r>
              <w:rPr>
                <w:rFonts w:ascii="Calibri" w:hAnsi="Calibri"/>
                <w:b w:val="0"/>
                <w:i w:val="0"/>
                <w:sz w:val="15"/>
              </w:rPr>
              <w:t>“octahedron… painted white or black”</w:t>
            </w:r>
          </w:p>
        </w:tc>
        <w:tc>
          <w:tcPr>
            <w:tcW w:type="dxa" w:w="1800"/>
            <w:tcMar>
              <w:top w:w="90" w:type="dxa"/>
              <w:start w:w="110" w:type="dxa"/>
              <w:bottom w:w="90" w:type="dxa"/>
              <w:end w:w="110" w:type="dxa"/>
            </w:tcMar>
            <w:vAlign w:val="top"/>
          </w:tcPr>
          <w:p>
            <w:pPr>
              <w:spacing w:after="0"/>
            </w:pPr>
            <w:r>
              <w:rPr>
                <w:rFonts w:ascii="Calibri" w:hAnsi="Calibri"/>
                <w:b w:val="0"/>
                <w:i w:val="0"/>
                <w:sz w:val="15"/>
              </w:rPr>
              <w:t>Exact current/predecessor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3">
              <w:r>
                <w:rPr>
                  <w:color w:val="2E74B5"/>
                  <w:u w:val="single"/>
                  <w:sz w:val="18"/>
                </w:rPr>
                <w:t>F1</w:t>
              </w:r>
            </w:hyperlink>
            <w:r>
              <w:rPr>
                <w:rFonts w:ascii="Calibri" w:hAnsi="Calibri"/>
                <w:b w:val="0"/>
                <w:i w:val="0"/>
                <w:sz w:val="15"/>
              </w:rPr>
              <w:t xml:space="preserve">, </w:t>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Exact prompt plus public candidate result, classification and symmetry discussion; Titan answer list corroborates exposure.</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8</w:t>
            </w:r>
          </w:p>
        </w:tc>
        <w:tc>
          <w:tcPr>
            <w:tcW w:type="dxa" w:w="2600"/>
            <w:tcMar>
              <w:top w:w="90" w:type="dxa"/>
              <w:start w:w="110" w:type="dxa"/>
              <w:bottom w:w="90" w:type="dxa"/>
              <w:end w:w="110" w:type="dxa"/>
            </w:tcMar>
            <w:vAlign w:val="top"/>
          </w:tcPr>
          <w:p>
            <w:pPr>
              <w:spacing w:after="0"/>
            </w:pPr>
            <w:r>
              <w:rPr>
                <w:rFonts w:ascii="Calibri" w:hAnsi="Calibri"/>
                <w:b w:val="0"/>
                <w:i w:val="0"/>
                <w:sz w:val="15"/>
              </w:rPr>
              <w:t>“cube… red or blue or yellow”</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predecessor/current item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1">
              <w:r>
                <w:rPr>
                  <w:rFonts w:ascii="Calibri" w:hAnsi="Calibri"/>
                  <w:color w:val="0563C1"/>
                  <w:u w:val="single"/>
                  <w:sz w:val="15"/>
                  <w:szCs w:val="15"/>
                </w:rPr>
                <w:t>U2</w:t>
              </w:r>
            </w:hyperlink>
            <w:r>
              <w:rPr>
                <w:rFonts w:ascii="Calibri" w:hAnsi="Calibri"/>
                <w:b w:val="0"/>
                <w:i w:val="0"/>
                <w:sz w:val="15"/>
              </w:rPr>
              <w:t xml:space="preserve">, </w:t>
            </w:r>
            <w:hyperlink r:id="rId12">
              <w:r>
                <w:rPr>
                  <w:rFonts w:ascii="Calibri" w:hAnsi="Calibri"/>
                  <w:color w:val="0563C1"/>
                  <w:u w:val="single"/>
                  <w:sz w:val="15"/>
                  <w:szCs w:val="15"/>
                </w:rPr>
                <w:t>U3</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34 is identical. A 2001 thread explicitly identifies the Power item and gives detailed case and group-action derivations; it was discussed again in 2009.</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9</w:t>
            </w:r>
          </w:p>
        </w:tc>
        <w:tc>
          <w:tcPr>
            <w:tcW w:type="dxa" w:w="2600"/>
            <w:tcMar>
              <w:top w:w="90" w:type="dxa"/>
              <w:start w:w="110" w:type="dxa"/>
              <w:bottom w:w="90" w:type="dxa"/>
              <w:end w:w="110" w:type="dxa"/>
            </w:tcMar>
            <w:vAlign w:val="top"/>
          </w:tcPr>
          <w:p>
            <w:pPr>
              <w:spacing w:after="0"/>
            </w:pPr>
            <w:r>
              <w:rPr>
                <w:rFonts w:ascii="Calibri" w:hAnsi="Calibri"/>
                <w:b w:val="0"/>
                <w:i w:val="0"/>
                <w:sz w:val="15"/>
              </w:rPr>
              <w:t>“five external views… draw the sixth”</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candidate</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2">
              <w:r>
                <w:rPr>
                  <w:rFonts w:ascii="Calibri" w:hAnsi="Calibri"/>
                  <w:color w:val="0563C1"/>
                  <w:u w:val="single"/>
                  <w:sz w:val="15"/>
                  <w:szCs w:val="15"/>
                </w:rPr>
                <w:t>U3</w:t>
              </w:r>
            </w:hyperlink>
            <w:r>
              <w:rPr>
                <w:rFonts w:ascii="Calibri" w:hAnsi="Calibri"/>
                <w:b w:val="0"/>
                <w:i w:val="0"/>
                <w:sz w:val="15"/>
              </w:rPr>
              <w:t xml:space="preserve">, </w:t>
            </w:r>
            <w:hyperlink r:id="rId17">
              <w:r>
                <w:rPr>
                  <w:rFonts w:ascii="Calibri" w:hAnsi="Calibri"/>
                  <w:color w:val="0563C1"/>
                  <w:u w:val="single"/>
                  <w:sz w:val="15"/>
                  <w:szCs w:val="15"/>
                </w:rPr>
                <w:t>R1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31 is identical. The 2009 thread publishes an ASCII sixth-view candidate; a separate answer-image link was inaccessible.</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10</w:t>
            </w:r>
          </w:p>
        </w:tc>
        <w:tc>
          <w:tcPr>
            <w:tcW w:type="dxa" w:w="2600"/>
            <w:tcMar>
              <w:top w:w="90" w:type="dxa"/>
              <w:start w:w="110" w:type="dxa"/>
              <w:bottom w:w="90" w:type="dxa"/>
              <w:end w:w="110" w:type="dxa"/>
            </w:tcMar>
            <w:vAlign w:val="top"/>
          </w:tcPr>
          <w:p>
            <w:pPr>
              <w:spacing w:after="0"/>
            </w:pPr>
            <w:r>
              <w:rPr>
                <w:rFonts w:ascii="Calibri" w:hAnsi="Calibri"/>
                <w:b w:val="0"/>
                <w:i w:val="0"/>
                <w:sz w:val="15"/>
              </w:rPr>
              <w:t>“spherical onion… sliced six times”</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31 maps to Power 10; answer thread gives formula/derivation.</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11</w:t>
            </w:r>
          </w:p>
        </w:tc>
        <w:tc>
          <w:tcPr>
            <w:tcW w:type="dxa" w:w="2600"/>
            <w:tcMar>
              <w:top w:w="90" w:type="dxa"/>
              <w:start w:w="110" w:type="dxa"/>
              <w:bottom w:w="90" w:type="dxa"/>
              <w:end w:w="110" w:type="dxa"/>
            </w:tcMar>
            <w:vAlign w:val="top"/>
          </w:tcPr>
          <w:p>
            <w:pPr>
              <w:spacing w:after="0"/>
            </w:pPr>
            <w:r>
              <w:rPr>
                <w:rFonts w:ascii="Calibri" w:hAnsi="Calibri"/>
                <w:b w:val="0"/>
                <w:i w:val="0"/>
                <w:sz w:val="15"/>
              </w:rPr>
              <w:t>“tetrahedral lump… sliced… six”</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32 maps to Power 11; candidate answer-level material is public.</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12</w:t>
            </w:r>
          </w:p>
        </w:tc>
        <w:tc>
          <w:tcPr>
            <w:tcW w:type="dxa" w:w="2600"/>
            <w:tcMar>
              <w:top w:w="90" w:type="dxa"/>
              <w:start w:w="110" w:type="dxa"/>
              <w:bottom w:w="90" w:type="dxa"/>
              <w:end w:w="110" w:type="dxa"/>
            </w:tcMar>
            <w:vAlign w:val="top"/>
          </w:tcPr>
          <w:p>
            <w:pPr>
              <w:spacing w:after="0"/>
            </w:pPr>
            <w:r>
              <w:rPr>
                <w:rFonts w:ascii="Calibri" w:hAnsi="Calibri"/>
                <w:b w:val="0"/>
                <w:i w:val="0"/>
                <w:sz w:val="15"/>
              </w:rPr>
              <w:t>“cube of butter… five… strokes”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 decisive theorem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6">
              <w:r>
                <w:rPr>
                  <w:rFonts w:ascii="Calibri" w:hAnsi="Calibri"/>
                  <w:color w:val="0563C1"/>
                  <w:u w:val="single"/>
                  <w:sz w:val="15"/>
                  <w:szCs w:val="15"/>
                </w:rPr>
                <w:t>B1</w:t>
              </w:r>
            </w:hyperlink>
            <w:r>
              <w:rPr>
                <w:rFonts w:ascii="Calibri" w:hAnsi="Calibri"/>
                <w:b w:val="0"/>
                <w:i w:val="0"/>
                <w:sz w:val="15"/>
              </w:rPr>
              <w:t xml:space="preserve">, </w:t>
            </w:r>
            <w:hyperlink r:id="rId18">
              <w:r>
                <w:rPr>
                  <w:rFonts w:ascii="Calibri" w:hAnsi="Calibri"/>
                  <w:color w:val="0563C1"/>
                  <w:u w:val="single"/>
                  <w:sz w:val="15"/>
                  <w:szCs w:val="15"/>
                </w:rPr>
                <w:t>R2</w:t>
              </w:r>
            </w:hyperlink>
            <w:r>
              <w:rPr>
                <w:rFonts w:ascii="Calibri" w:hAnsi="Calibri"/>
                <w:b w:val="0"/>
                <w:i w:val="0"/>
                <w:sz w:val="15"/>
              </w:rPr>
              <w:t xml:space="preserve">, </w:t>
            </w:r>
            <w:hyperlink r:id="rId19">
              <w:r>
                <w:rPr>
                  <w:rFonts w:ascii="Calibri" w:hAnsi="Calibri"/>
                  <w:color w:val="0563C1"/>
                  <w:u w:val="single"/>
                  <w:sz w:val="15"/>
                  <w:szCs w:val="15"/>
                </w:rPr>
                <w:t>M1</w:t>
              </w:r>
            </w:hyperlink>
            <w:r>
              <w:rPr>
                <w:rFonts w:ascii="Calibri" w:hAnsi="Calibri"/>
                <w:b w:val="0"/>
                <w:i w:val="0"/>
                <w:sz w:val="15"/>
              </w:rPr>
              <w:t xml:space="preserve">, </w:t>
            </w:r>
            <w:hyperlink r:id="rId22">
              <w:r>
                <w:rPr>
                  <w:rFonts w:ascii="Calibri" w:hAnsi="Calibri"/>
                  <w:color w:val="0563C1"/>
                  <w:u w:val="single"/>
                  <w:sz w:val="15"/>
                  <w:szCs w:val="15"/>
                </w:rPr>
                <w:t>W1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35 is identical. The exact prompt is public and the maximum-regions-by-planes theorem supplies the decisive calculation route.</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13</w:t>
            </w:r>
          </w:p>
        </w:tc>
        <w:tc>
          <w:tcPr>
            <w:tcW w:type="dxa" w:w="2600"/>
            <w:tcMar>
              <w:top w:w="90" w:type="dxa"/>
              <w:start w:w="110" w:type="dxa"/>
              <w:bottom w:w="90" w:type="dxa"/>
              <w:end w:w="110" w:type="dxa"/>
            </w:tcMar>
            <w:vAlign w:val="top"/>
          </w:tcPr>
          <w:p>
            <w:pPr>
              <w:spacing w:after="0"/>
            </w:pPr>
            <w:r>
              <w:rPr>
                <w:rFonts w:ascii="Calibri" w:hAnsi="Calibri"/>
                <w:b w:val="0"/>
                <w:i w:val="0"/>
                <w:sz w:val="15"/>
              </w:rPr>
              <w:t>“doughnut… Möbius strip”</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33 maps to Power 13; competing candidates and a long worked topology attempt are public. Correctness unresolved.</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14</w:t>
            </w:r>
          </w:p>
        </w:tc>
        <w:tc>
          <w:tcPr>
            <w:tcW w:type="dxa" w:w="2600"/>
            <w:tcMar>
              <w:top w:w="90" w:type="dxa"/>
              <w:start w:w="110" w:type="dxa"/>
              <w:bottom w:w="90" w:type="dxa"/>
              <w:end w:w="110" w:type="dxa"/>
            </w:tcMar>
            <w:vAlign w:val="top"/>
          </w:tcPr>
          <w:p>
            <w:pPr>
              <w:spacing w:after="0"/>
            </w:pPr>
            <w:r>
              <w:rPr>
                <w:rFonts w:ascii="Calibri" w:hAnsi="Calibri"/>
                <w:b w:val="0"/>
                <w:i w:val="0"/>
                <w:sz w:val="15"/>
              </w:rPr>
              <w:t>“objects… 1 to 100 pounds”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 classic method</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7">
              <w:r>
                <w:rPr>
                  <w:rFonts w:ascii="Calibri" w:hAnsi="Calibri"/>
                  <w:color w:val="0563C1"/>
                  <w:u w:val="single"/>
                  <w:sz w:val="15"/>
                  <w:szCs w:val="15"/>
                </w:rPr>
                <w:t>R1</w:t>
              </w:r>
            </w:hyperlink>
            <w:r>
              <w:rPr>
                <w:rFonts w:ascii="Calibri" w:hAnsi="Calibri"/>
                <w:b w:val="0"/>
                <w:i w:val="0"/>
                <w:sz w:val="15"/>
              </w:rPr>
              <w:t xml:space="preserve">, </w:t>
            </w:r>
            <w:hyperlink r:id="rId30">
              <w:r>
                <w:rPr>
                  <w:rFonts w:ascii="Calibri" w:hAnsi="Calibri"/>
                  <w:color w:val="0563C1"/>
                  <w:u w:val="single"/>
                  <w:sz w:val="15"/>
                  <w:szCs w:val="15"/>
                </w:rPr>
                <w:t>A1</w:t>
              </w:r>
            </w:hyperlink>
            <w:r>
              <w:rPr>
                <w:rFonts w:ascii="Calibri" w:hAnsi="Calibri"/>
                <w:b w:val="0"/>
                <w:i w:val="0"/>
                <w:sz w:val="15"/>
              </w:rPr>
              <w:t xml:space="preserve">, </w:t>
            </w:r>
            <w:hyperlink r:id="rId31">
              <w:r>
                <w:rPr>
                  <w:rFonts w:ascii="Calibri" w:hAnsi="Calibri"/>
                  <w:color w:val="0563C1"/>
                  <w:u w:val="single"/>
                  <w:sz w:val="15"/>
                  <w:szCs w:val="15"/>
                </w:rPr>
                <w:t>I1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38 is identical. A Power-specific thread exposes balanced ternary; academic sources show the underlying Bachet problem and method.</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15</w:t>
            </w:r>
          </w:p>
        </w:tc>
        <w:tc>
          <w:tcPr>
            <w:tcW w:type="dxa" w:w="2600"/>
            <w:tcMar>
              <w:top w:w="90" w:type="dxa"/>
              <w:start w:w="110" w:type="dxa"/>
              <w:bottom w:w="90" w:type="dxa"/>
              <w:end w:w="110" w:type="dxa"/>
            </w:tcMar>
            <w:vAlign w:val="top"/>
          </w:tcPr>
          <w:p>
            <w:pPr>
              <w:spacing w:after="0"/>
            </w:pPr>
            <w:r>
              <w:rPr>
                <w:rFonts w:ascii="Calibri" w:hAnsi="Calibri"/>
                <w:b w:val="0"/>
                <w:i w:val="0"/>
                <w:sz w:val="15"/>
              </w:rPr>
              <w:t>“lock… 3,000 barrels…”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predecessor/current item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20">
              <w:r>
                <w:rPr>
                  <w:rFonts w:ascii="Calibri" w:hAnsi="Calibri"/>
                  <w:color w:val="0563C1"/>
                  <w:u w:val="single"/>
                  <w:sz w:val="15"/>
                  <w:szCs w:val="15"/>
                </w:rPr>
                <w:t>F2</w:t>
              </w:r>
            </w:hyperlink>
            <w:r>
              <w:rPr>
                <w:rFonts w:ascii="Calibri" w:hAnsi="Calibri"/>
                <w:b w:val="0"/>
                <w:i w:val="0"/>
                <w:sz w:val="15"/>
              </w:rPr>
              <w:t xml:space="preserve">, </w:t>
            </w:r>
            <w:hyperlink r:id="rId21">
              <w:r>
                <w:rPr>
                  <w:rFonts w:ascii="Calibri" w:hAnsi="Calibri"/>
                  <w:color w:val="0563C1"/>
                  <w:u w:val="single"/>
                  <w:sz w:val="15"/>
                  <w:szCs w:val="15"/>
                </w:rPr>
                <w:t>C1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41 is identical. An exact-question 2018 thread is indexed with a proposed result and explanation; the direct page intermittently failed.</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16</w:t>
            </w:r>
          </w:p>
        </w:tc>
        <w:tc>
          <w:tcPr>
            <w:tcW w:type="dxa" w:w="2600"/>
            <w:tcMar>
              <w:top w:w="90" w:type="dxa"/>
              <w:start w:w="110" w:type="dxa"/>
              <w:bottom w:w="90" w:type="dxa"/>
              <w:end w:w="110" w:type="dxa"/>
            </w:tcMar>
            <w:vAlign w:val="top"/>
          </w:tcPr>
          <w:p>
            <w:pPr>
              <w:spacing w:after="0"/>
            </w:pPr>
            <w:r>
              <w:rPr>
                <w:rFonts w:ascii="Calibri" w:hAnsi="Calibri"/>
                <w:b w:val="0"/>
                <w:i w:val="0"/>
                <w:sz w:val="15"/>
              </w:rPr>
              <w:t>“knight… square A to square B”</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prompt only</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21">
              <w:r>
                <w:rPr>
                  <w:rFonts w:ascii="Calibri" w:hAnsi="Calibri"/>
                  <w:color w:val="0563C1"/>
                  <w:u w:val="single"/>
                  <w:sz w:val="15"/>
                  <w:szCs w:val="15"/>
                </w:rPr>
                <w:t>C1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29 is identical, including its diagram. Public prompt reproductions were found, but no substantive solution was independently verified.</w:t>
            </w:r>
          </w:p>
        </w:tc>
        <w:tc>
          <w:tcPr>
            <w:tcW w:type="dxa" w:w="1100"/>
            <w:tcMar>
              <w:top w:w="90" w:type="dxa"/>
              <w:start w:w="110" w:type="dxa"/>
              <w:bottom w:w="90" w:type="dxa"/>
              <w:end w:w="110" w:type="dxa"/>
            </w:tcMar>
            <w:vAlign w:val="top"/>
            <w:shd w:fill="E2F0D9"/>
          </w:tcPr>
          <w:p>
            <w:pPr>
              <w:spacing w:before="0" w:after="0" w:line="240" w:lineRule="auto"/>
              <w:jc w:val="center"/>
            </w:pPr>
            <w:r>
              <w:rPr>
                <w:rFonts w:ascii="Calibri" w:hAnsi="Calibri"/>
                <w:b w:val="0"/>
                <w:i w:val="0"/>
                <w:sz w:val="15"/>
              </w:rPr>
              <w:t>Low</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17</w:t>
            </w:r>
          </w:p>
        </w:tc>
        <w:tc>
          <w:tcPr>
            <w:tcW w:type="dxa" w:w="2600"/>
            <w:tcMar>
              <w:top w:w="90" w:type="dxa"/>
              <w:start w:w="110" w:type="dxa"/>
              <w:bottom w:w="90" w:type="dxa"/>
              <w:end w:w="110" w:type="dxa"/>
            </w:tcMar>
            <w:vAlign w:val="top"/>
          </w:tcPr>
          <w:p>
            <w:pPr>
              <w:spacing w:after="0"/>
            </w:pPr>
            <w:r>
              <w:rPr>
                <w:rFonts w:ascii="Calibri" w:hAnsi="Calibri"/>
                <w:b w:val="0"/>
                <w:i w:val="0"/>
                <w:sz w:val="15"/>
              </w:rPr>
              <w:t>“modified… craps… dodecahedra”</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 candidate</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2">
              <w:r>
                <w:rPr>
                  <w:rFonts w:ascii="Calibri" w:hAnsi="Calibri"/>
                  <w:color w:val="0563C1"/>
                  <w:u w:val="single"/>
                  <w:sz w:val="15"/>
                  <w:szCs w:val="15"/>
                </w:rPr>
                <w:t>U3</w:t>
              </w:r>
            </w:hyperlink>
            <w:r>
              <w:rPr>
                <w:rFonts w:ascii="Calibri" w:hAnsi="Calibri"/>
                <w:b w:val="0"/>
                <w:i w:val="0"/>
                <w:sz w:val="15"/>
              </w:rPr>
              <w:t xml:space="preserve">, </w:t>
            </w:r>
            <w:hyperlink r:id="rId32">
              <w:r>
                <w:rPr>
                  <w:rFonts w:ascii="Calibri" w:hAnsi="Calibri"/>
                  <w:color w:val="0563C1"/>
                  <w:u w:val="single"/>
                  <w:sz w:val="15"/>
                  <w:szCs w:val="15"/>
                </w:rPr>
                <w:t>F3</w:t>
              </w:r>
            </w:hyperlink>
            <w:r>
              <w:rPr>
                <w:rFonts w:ascii="Calibri" w:hAnsi="Calibri"/>
                <w:b w:val="0"/>
                <w:i w:val="0"/>
                <w:sz w:val="15"/>
              </w:rPr>
              <w:t xml:space="preserve">, </w:t>
            </w:r>
            <w:hyperlink r:id="rId21">
              <w:r>
                <w:rPr>
                  <w:rFonts w:ascii="Calibri" w:hAnsi="Calibri"/>
                  <w:color w:val="0563C1"/>
                  <w:u w:val="single"/>
                  <w:sz w:val="15"/>
                  <w:szCs w:val="15"/>
                </w:rPr>
                <w:t>C1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37 is identical. The 2009 thread posts a candidate percentage, but the author says the rules may have been misread and supplies no derivation.</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18</w:t>
            </w:r>
          </w:p>
        </w:tc>
        <w:tc>
          <w:tcPr>
            <w:tcW w:type="dxa" w:w="2600"/>
            <w:tcMar>
              <w:top w:w="90" w:type="dxa"/>
              <w:start w:w="110" w:type="dxa"/>
              <w:bottom w:w="90" w:type="dxa"/>
              <w:end w:w="110" w:type="dxa"/>
            </w:tcMar>
            <w:vAlign w:val="top"/>
          </w:tcPr>
          <w:p>
            <w:pPr>
              <w:spacing w:after="0"/>
            </w:pPr>
            <w:r>
              <w:rPr>
                <w:rFonts w:ascii="Calibri" w:hAnsi="Calibri"/>
                <w:b w:val="0"/>
                <w:i w:val="0"/>
                <w:sz w:val="15"/>
              </w:rPr>
              <w:t>“tetrahedral-shaped crystal… 1,000,000”</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predecessor; parameter changed</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7">
              <w:r>
                <w:rPr>
                  <w:rFonts w:ascii="Calibri" w:hAnsi="Calibri"/>
                  <w:color w:val="0563C1"/>
                  <w:u w:val="single"/>
                  <w:sz w:val="15"/>
                  <w:szCs w:val="15"/>
                </w:rPr>
                <w:t>R1</w:t>
              </w:r>
            </w:hyperlink>
            <w:r>
              <w:rPr>
                <w:rFonts w:ascii="Calibri" w:hAnsi="Calibri"/>
                <w:b w:val="0"/>
                <w:i w:val="0"/>
                <w:sz w:val="15"/>
              </w:rPr>
              <w:t xml:space="preserve">, </w:t>
            </w:r>
            <w:hyperlink r:id="rId21">
              <w:r>
                <w:rPr>
                  <w:rFonts w:ascii="Calibri" w:hAnsi="Calibri"/>
                  <w:color w:val="0563C1"/>
                  <w:u w:val="single"/>
                  <w:sz w:val="15"/>
                  <w:szCs w:val="15"/>
                </w:rPr>
                <w:t>C1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39 uses the same layered tetrahedral construction with a different layer count. Public comments give the summation and sum-of-squares method, which transfers directly.</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19</w:t>
            </w:r>
          </w:p>
        </w:tc>
        <w:tc>
          <w:tcPr>
            <w:tcW w:type="dxa" w:w="2600"/>
            <w:tcMar>
              <w:top w:w="90" w:type="dxa"/>
              <w:start w:w="110" w:type="dxa"/>
              <w:bottom w:w="90" w:type="dxa"/>
              <w:end w:w="110" w:type="dxa"/>
            </w:tcMar>
            <w:vAlign w:val="top"/>
          </w:tcPr>
          <w:p>
            <w:pPr>
              <w:spacing w:after="0"/>
            </w:pPr>
            <w:r>
              <w:rPr>
                <w:rFonts w:ascii="Calibri" w:hAnsi="Calibri"/>
                <w:b w:val="0"/>
                <w:i w:val="0"/>
                <w:sz w:val="15"/>
              </w:rPr>
              <w:t>“27 identical cubes… two… omitted”</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7">
              <w:r>
                <w:rPr>
                  <w:color w:val="2E74B5"/>
                  <w:u w:val="single"/>
                  <w:sz w:val="18"/>
                </w:rPr>
                <w:t>R1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29 maps to Power 19 and has a public candidate answer; r/math also links an “Answer19” image.</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20</w:t>
            </w:r>
          </w:p>
        </w:tc>
        <w:tc>
          <w:tcPr>
            <w:tcW w:type="dxa" w:w="2600"/>
            <w:tcMar>
              <w:top w:w="90" w:type="dxa"/>
              <w:start w:w="110" w:type="dxa"/>
              <w:bottom w:w="90" w:type="dxa"/>
              <w:end w:w="110" w:type="dxa"/>
            </w:tcMar>
            <w:vAlign w:val="top"/>
          </w:tcPr>
          <w:p>
            <w:pPr>
              <w:spacing w:after="0"/>
            </w:pPr>
            <w:r>
              <w:rPr>
                <w:rFonts w:ascii="Calibri" w:hAnsi="Calibri"/>
                <w:b w:val="0"/>
                <w:i w:val="0"/>
                <w:sz w:val="15"/>
              </w:rPr>
              <w:t>“27… cheese chunks… mouse”</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predecessor/current item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12">
              <w:r>
                <w:rPr>
                  <w:rFonts w:ascii="Calibri" w:hAnsi="Calibri"/>
                  <w:color w:val="0563C1"/>
                  <w:u w:val="single"/>
                  <w:sz w:val="15"/>
                  <w:szCs w:val="15"/>
                </w:rPr>
                <w:t>U3</w:t>
              </w:r>
            </w:hyperlink>
            <w:r>
              <w:rPr>
                <w:rFonts w:ascii="Calibri" w:hAnsi="Calibri"/>
                <w:b w:val="0"/>
                <w:i w:val="0"/>
                <w:sz w:val="15"/>
              </w:rPr>
              <w:t xml:space="preserve">, </w:t>
            </w:r>
            <w:hyperlink r:id="rId21">
              <w:r>
                <w:rPr>
                  <w:rFonts w:ascii="Calibri" w:hAnsi="Calibri"/>
                  <w:color w:val="0563C1"/>
                  <w:u w:val="single"/>
                  <w:sz w:val="15"/>
                  <w:szCs w:val="15"/>
                </w:rPr>
                <w:t>C1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32 is identical. A public route is followed by an upper-bound proof classifying cubes as vertex, edge, face and centre types.</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21</w:t>
            </w:r>
          </w:p>
        </w:tc>
        <w:tc>
          <w:tcPr>
            <w:tcW w:type="dxa" w:w="2600"/>
            <w:tcMar>
              <w:top w:w="90" w:type="dxa"/>
              <w:start w:w="110" w:type="dxa"/>
              <w:bottom w:w="90" w:type="dxa"/>
              <w:end w:w="110" w:type="dxa"/>
            </w:tcMar>
            <w:vAlign w:val="top"/>
          </w:tcPr>
          <w:p>
            <w:pPr>
              <w:spacing w:after="0"/>
            </w:pPr>
            <w:r>
              <w:rPr>
                <w:rFonts w:ascii="Calibri" w:hAnsi="Calibri"/>
                <w:b w:val="0"/>
                <w:i w:val="0"/>
                <w:sz w:val="15"/>
              </w:rPr>
              <w:t>“ants… tetrahedron”</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7">
              <w:r>
                <w:rPr>
                  <w:color w:val="2E74B5"/>
                  <w:u w:val="single"/>
                  <w:sz w:val="18"/>
                </w:rPr>
                <w:t>R1</w:t>
              </w:r>
            </w:hyperlink>
            <w:r>
              <w:rPr>
                <w:rFonts w:ascii="Calibri" w:hAnsi="Calibri"/>
                <w:b w:val="0"/>
                <w:i w:val="0"/>
                <w:sz w:val="15"/>
              </w:rPr>
              <w:t xml:space="preserve">, </w:t>
            </w:r>
            <w:hyperlink r:id="rId18">
              <w:r>
                <w:rPr>
                  <w:color w:val="2E74B5"/>
                  <w:u w:val="single"/>
                  <w:sz w:val="18"/>
                </w:rPr>
                <w:t>R2</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38 maps to Power 21; candidate answer list is public, with a graph-theory route and an “Answer21” link.</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22</w:t>
            </w:r>
          </w:p>
        </w:tc>
        <w:tc>
          <w:tcPr>
            <w:tcW w:type="dxa" w:w="2600"/>
            <w:tcMar>
              <w:top w:w="90" w:type="dxa"/>
              <w:start w:w="110" w:type="dxa"/>
              <w:bottom w:w="90" w:type="dxa"/>
              <w:end w:w="110" w:type="dxa"/>
            </w:tcMar>
            <w:vAlign w:val="top"/>
          </w:tcPr>
          <w:p>
            <w:pPr>
              <w:spacing w:after="0"/>
            </w:pPr>
            <w:r>
              <w:rPr>
                <w:rFonts w:ascii="Calibri" w:hAnsi="Calibri"/>
                <w:b w:val="0"/>
                <w:i w:val="0"/>
                <w:sz w:val="15"/>
              </w:rPr>
              <w:t>“ants… cube”</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8">
              <w:r>
                <w:rPr>
                  <w:color w:val="2E74B5"/>
                  <w:u w:val="single"/>
                  <w:sz w:val="18"/>
                </w:rPr>
                <w:t>R2</w:t>
              </w:r>
            </w:hyperlink>
            <w:r>
              <w:rPr>
                <w:rFonts w:ascii="Calibri" w:hAnsi="Calibri"/>
                <w:b w:val="0"/>
                <w:i w:val="0"/>
                <w:sz w:val="15"/>
              </w:rPr>
              <w:t xml:space="preserve">, </w:t>
            </w:r>
            <w:hyperlink r:id="rId21">
              <w:r>
                <w:rPr>
                  <w:color w:val="2E74B5"/>
                  <w:u w:val="single"/>
                  <w:sz w:val="18"/>
                </w:rPr>
                <w:t>C1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39 maps to Power 22; public candidate answers and Hamiltonian-cycle route.</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23</w:t>
            </w:r>
          </w:p>
        </w:tc>
        <w:tc>
          <w:tcPr>
            <w:tcW w:type="dxa" w:w="2600"/>
            <w:tcMar>
              <w:top w:w="90" w:type="dxa"/>
              <w:start w:w="110" w:type="dxa"/>
              <w:bottom w:w="90" w:type="dxa"/>
              <w:end w:w="110" w:type="dxa"/>
            </w:tcMar>
            <w:vAlign w:val="top"/>
          </w:tcPr>
          <w:p>
            <w:pPr>
              <w:spacing w:after="0"/>
            </w:pPr>
            <w:r>
              <w:rPr>
                <w:rFonts w:ascii="Calibri" w:hAnsi="Calibri"/>
                <w:b w:val="0"/>
                <w:i w:val="0"/>
                <w:sz w:val="15"/>
              </w:rPr>
              <w:t>“ants… regular octahedron”</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8">
              <w:r>
                <w:rPr>
                  <w:color w:val="2E74B5"/>
                  <w:u w:val="single"/>
                  <w:sz w:val="18"/>
                </w:rPr>
                <w:t>R2</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40 maps to Power 23; public candidate answer and graph-theory route.</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24</w:t>
            </w:r>
          </w:p>
        </w:tc>
        <w:tc>
          <w:tcPr>
            <w:tcW w:type="dxa" w:w="2600"/>
            <w:tcMar>
              <w:top w:w="90" w:type="dxa"/>
              <w:start w:w="110" w:type="dxa"/>
              <w:bottom w:w="90" w:type="dxa"/>
              <w:end w:w="110" w:type="dxa"/>
            </w:tcMar>
            <w:vAlign w:val="top"/>
          </w:tcPr>
          <w:p>
            <w:pPr>
              <w:spacing w:after="0"/>
            </w:pPr>
            <w:r>
              <w:rPr>
                <w:rFonts w:ascii="Calibri" w:hAnsi="Calibri"/>
                <w:b w:val="0"/>
                <w:i w:val="0"/>
                <w:sz w:val="15"/>
              </w:rPr>
              <w:t>“ants… regular dodecahedron”</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8">
              <w:r>
                <w:rPr>
                  <w:color w:val="2E74B5"/>
                  <w:u w:val="single"/>
                  <w:sz w:val="18"/>
                </w:rPr>
                <w:t>R2</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41 maps to Power 24; public candidate answer and graph-theory route.</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25</w:t>
            </w:r>
          </w:p>
        </w:tc>
        <w:tc>
          <w:tcPr>
            <w:tcW w:type="dxa" w:w="2600"/>
            <w:tcMar>
              <w:top w:w="90" w:type="dxa"/>
              <w:start w:w="110" w:type="dxa"/>
              <w:bottom w:w="90" w:type="dxa"/>
              <w:end w:w="110" w:type="dxa"/>
            </w:tcMar>
            <w:vAlign w:val="top"/>
          </w:tcPr>
          <w:p>
            <w:pPr>
              <w:spacing w:after="0"/>
            </w:pPr>
            <w:r>
              <w:rPr>
                <w:rFonts w:ascii="Calibri" w:hAnsi="Calibri"/>
                <w:b w:val="0"/>
                <w:i w:val="0"/>
                <w:sz w:val="15"/>
              </w:rPr>
              <w:t>“cube and tetrahedron interpenetrate”</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36 maps to Power 25; public candidate answer list. No official-key authentication.</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26</w:t>
            </w:r>
          </w:p>
        </w:tc>
        <w:tc>
          <w:tcPr>
            <w:tcW w:type="dxa" w:w="2600"/>
            <w:tcMar>
              <w:top w:w="90" w:type="dxa"/>
              <w:start w:w="110" w:type="dxa"/>
              <w:bottom w:w="90" w:type="dxa"/>
              <w:end w:w="110" w:type="dxa"/>
            </w:tcMar>
            <w:vAlign w:val="top"/>
          </w:tcPr>
          <w:p>
            <w:pPr>
              <w:spacing w:after="0"/>
            </w:pPr>
            <w:r>
              <w:rPr>
                <w:rFonts w:ascii="Calibri" w:hAnsi="Calibri"/>
                <w:b w:val="0"/>
                <w:i w:val="0"/>
                <w:sz w:val="15"/>
              </w:rPr>
              <w:t>“three interpenetrating cubes”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predecessor/current item</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22">
              <w:r>
                <w:rPr>
                  <w:rFonts w:ascii="Calibri" w:hAnsi="Calibri"/>
                  <w:color w:val="0563C1"/>
                  <w:u w:val="single"/>
                  <w:sz w:val="15"/>
                  <w:szCs w:val="15"/>
                </w:rPr>
                <w:t>W1</w:t>
              </w:r>
            </w:hyperlink>
            <w:r>
              <w:rPr>
                <w:rFonts w:ascii="Calibri" w:hAnsi="Calibri"/>
                <w:b w:val="0"/>
                <w:i w:val="0"/>
                <w:sz w:val="15"/>
              </w:rPr>
              <w:t xml:space="preserve">, </w:t>
            </w:r>
            <w:hyperlink r:id="rId23">
              <w:r>
                <w:rPr>
                  <w:rFonts w:ascii="Calibri" w:hAnsi="Calibri"/>
                  <w:color w:val="0563C1"/>
                  <w:u w:val="single"/>
                  <w:sz w:val="15"/>
                  <w:szCs w:val="15"/>
                </w:rPr>
                <w:t>G1</w:t>
              </w:r>
            </w:hyperlink>
            <w:r>
              <w:rPr>
                <w:rFonts w:ascii="Calibri" w:hAnsi="Calibri"/>
                <w:b w:val="0"/>
                <w:i w:val="0"/>
                <w:sz w:val="15"/>
              </w:rPr>
              <w:t xml:space="preserve">, </w:t>
            </w:r>
            <w:hyperlink r:id="rId24">
              <w:r>
                <w:rPr>
                  <w:rFonts w:ascii="Calibri" w:hAnsi="Calibri"/>
                  <w:color w:val="0563C1"/>
                  <w:u w:val="single"/>
                  <w:sz w:val="15"/>
                  <w:szCs w:val="15"/>
                </w:rPr>
                <w:t>H1</w:t>
              </w:r>
            </w:hyperlink>
            <w:r>
              <w:rPr>
                <w:rFonts w:ascii="Calibri" w:hAnsi="Calibri"/>
                <w:b w:val="0"/>
                <w:i w:val="0"/>
                <w:sz w:val="15"/>
              </w:rPr>
              <w:t xml:space="preserve">, </w:t>
            </w:r>
            <w:hyperlink r:id="rId25">
              <w:r>
                <w:rPr>
                  <w:rFonts w:ascii="Calibri" w:hAnsi="Calibri"/>
                  <w:color w:val="0563C1"/>
                  <w:u w:val="single"/>
                  <w:sz w:val="15"/>
                  <w:szCs w:val="15"/>
                </w:rPr>
                <w:t>P1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36 is identical. The prompt was public by 1988; later forums provide detailed region-counting attempts and competing totals.</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27</w:t>
            </w:r>
          </w:p>
        </w:tc>
        <w:tc>
          <w:tcPr>
            <w:tcW w:type="dxa" w:w="2600"/>
            <w:tcMar>
              <w:top w:w="90" w:type="dxa"/>
              <w:start w:w="110" w:type="dxa"/>
              <w:bottom w:w="90" w:type="dxa"/>
              <w:end w:w="110" w:type="dxa"/>
            </w:tcMar>
            <w:vAlign w:val="top"/>
          </w:tcPr>
          <w:p>
            <w:pPr>
              <w:spacing w:after="0"/>
            </w:pPr>
            <w:r>
              <w:rPr>
                <w:rFonts w:ascii="Calibri" w:hAnsi="Calibri"/>
                <w:b w:val="0"/>
                <w:i w:val="0"/>
                <w:sz w:val="15"/>
              </w:rPr>
              <w:t>“two… cones and… cylinder”</w:t>
            </w:r>
          </w:p>
        </w:tc>
        <w:tc>
          <w:tcPr>
            <w:tcW w:type="dxa" w:w="1800"/>
            <w:tcMar>
              <w:top w:w="90" w:type="dxa"/>
              <w:start w:w="110" w:type="dxa"/>
              <w:bottom w:w="90" w:type="dxa"/>
              <w:end w:w="110" w:type="dxa"/>
            </w:tcMar>
            <w:vAlign w:val="center"/>
          </w:tcPr>
          <w:p>
            <w:pPr>
              <w:spacing w:after="0"/>
            </w:pPr>
            <w:r>
              <w:rPr>
                <w:rFonts w:ascii="Calibri" w:hAnsi="Calibri"/>
                <w:b w:val="0"/>
                <w:sz w:val="15"/>
              </w:rPr>
              <w:t>Exact Titan predecessor + public construction/candidate</w:t>
            </w:r>
          </w:p>
        </w:tc>
        <w:tc>
          <w:tcPr>
            <w:tcW w:type="dxa" w:w="1350"/>
            <w:tcMar>
              <w:top w:w="90" w:type="dxa"/>
              <w:start w:w="110" w:type="dxa"/>
              <w:bottom w:w="90" w:type="dxa"/>
              <w:end w:w="110" w:type="dxa"/>
            </w:tcMar>
            <w:vAlign w:val="center"/>
          </w:tcPr>
          <w:p>
            <w:pPr>
              <w:spacing w:after="0"/>
            </w:pPr>
            <w:hyperlink r:id="rId14">
              <w:r>
                <w:rPr>
                  <w:rFonts w:ascii="Calibri" w:hAnsi="Calibri"/>
                  <w:color w:val="0563C1"/>
                  <w:u w:val="single"/>
                  <w:sz w:val="15"/>
                  <w:szCs w:val="15"/>
                </w:rPr>
                <w:t>T1</w:t>
              </w:r>
            </w:hyperlink>
            <w:r>
              <w:rPr>
                <w:rFonts w:ascii="Calibri" w:hAnsi="Calibri"/>
                <w:b w:val="0"/>
                <w:sz w:val="15"/>
              </w:rPr>
              <w:t xml:space="preserve">, </w:t>
            </w:r>
            <w:hyperlink r:id="rId45">
              <w:r>
                <w:rPr>
                  <w:rFonts w:ascii="Calibri" w:hAnsi="Calibri"/>
                  <w:color w:val="0563C1"/>
                  <w:u w:val="single"/>
                  <w:sz w:val="15"/>
                  <w:szCs w:val="15"/>
                </w:rPr>
                <w:t>M4</w:t>
              </w:r>
            </w:hyperlink>
            <w:r>
              <w:rPr>
                <w:rFonts w:ascii="Calibri" w:hAnsi="Calibri"/>
                <w:b w:val="0"/>
                <w:sz w:val="15"/>
              </w:rPr>
              <w:t xml:space="preserve">, </w:t>
            </w:r>
            <w:hyperlink r:id="rId46">
              <w:r>
                <w:rPr>
                  <w:rFonts w:ascii="Calibri" w:hAnsi="Calibri"/>
                  <w:color w:val="0563C1"/>
                  <w:u w:val="single"/>
                  <w:sz w:val="15"/>
                  <w:szCs w:val="15"/>
                </w:rPr>
                <w:t>D2</w:t>
              </w:r>
            </w:hyperlink>
          </w:p>
        </w:tc>
        <w:tc>
          <w:tcPr>
            <w:tcW w:type="dxa" w:w="6350"/>
            <w:tcMar>
              <w:top w:w="90" w:type="dxa"/>
              <w:start w:w="110" w:type="dxa"/>
              <w:bottom w:w="90" w:type="dxa"/>
              <w:end w:w="110" w:type="dxa"/>
            </w:tcMar>
            <w:vAlign w:val="center"/>
          </w:tcPr>
          <w:p>
            <w:pPr>
              <w:spacing w:after="0"/>
            </w:pPr>
            <w:r>
              <w:rPr>
                <w:rFonts w:ascii="Calibri" w:hAnsi="Calibri"/>
                <w:b w:val="0"/>
                <w:sz w:val="15"/>
              </w:rPr>
              <w:t>Titan 35 maps to Power 27. A September 2017 exact-question post supplies a concrete bounded-volume construction but not a proof of maximality; a public LLM-reasoning dataset also reproduces the item and gives an unverified candidate.</w:t>
            </w:r>
          </w:p>
        </w:tc>
        <w:tc>
          <w:tcPr>
            <w:tcW w:type="dxa" w:w="1100"/>
            <w:tcMar>
              <w:top w:w="90" w:type="dxa"/>
              <w:start w:w="110" w:type="dxa"/>
              <w:bottom w:w="90" w:type="dxa"/>
              <w:end w:w="110" w:type="dxa"/>
            </w:tcMar>
            <w:vAlign w:val="center"/>
            <w:shd w:fill="FFF2CC" w:val="clear"/>
          </w:tcPr>
          <w:p>
            <w:pPr>
              <w:spacing w:after="0"/>
            </w:pPr>
            <w:r>
              <w:rPr>
                <w:rFonts w:ascii="Calibri" w:hAnsi="Calibri"/>
                <w:b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28</w:t>
            </w:r>
          </w:p>
        </w:tc>
        <w:tc>
          <w:tcPr>
            <w:tcW w:type="dxa" w:w="2600"/>
            <w:tcMar>
              <w:top w:w="90" w:type="dxa"/>
              <w:start w:w="110" w:type="dxa"/>
              <w:bottom w:w="90" w:type="dxa"/>
              <w:end w:w="110" w:type="dxa"/>
            </w:tcMar>
            <w:vAlign w:val="top"/>
          </w:tcPr>
          <w:p>
            <w:pPr>
              <w:spacing w:after="0"/>
            </w:pPr>
            <w:r>
              <w:rPr>
                <w:rFonts w:ascii="Calibri" w:hAnsi="Calibri"/>
                <w:b w:val="0"/>
                <w:i w:val="0"/>
                <w:sz w:val="15"/>
              </w:rPr>
              <w:t>“five dots… flat surface… triples”</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Mega predecessor + candidate argument</w:t>
            </w:r>
          </w:p>
        </w:tc>
        <w:tc>
          <w:tcPr>
            <w:tcW w:type="dxa" w:w="1350"/>
            <w:tcMar>
              <w:top w:w="90" w:type="dxa"/>
              <w:start w:w="110" w:type="dxa"/>
              <w:bottom w:w="90" w:type="dxa"/>
              <w:end w:w="110" w:type="dxa"/>
            </w:tcMar>
            <w:vAlign w:val="top"/>
          </w:tcPr>
          <w:p>
            <w:pPr>
              <w:spacing w:before="0" w:after="0" w:line="240" w:lineRule="auto"/>
            </w:pPr>
            <w:hyperlink r:id="rId38">
              <w:r>
                <w:rPr>
                  <w:rFonts w:ascii="Calibri" w:hAnsi="Calibri"/>
                  <w:color w:val="0563C1"/>
                  <w:u w:val="single"/>
                  <w:sz w:val="15"/>
                  <w:szCs w:val="15"/>
                </w:rPr>
                <w:t>ME1</w:t>
              </w:r>
            </w:hyperlink>
            <w:r>
              <w:rPr>
                <w:rFonts w:ascii="Calibri" w:hAnsi="Calibri"/>
                <w:b w:val="0"/>
                <w:i w:val="0"/>
                <w:sz w:val="15"/>
              </w:rPr>
              <w:t xml:space="preserve">, </w:t>
            </w:r>
            <w:hyperlink r:id="rId41">
              <w:r>
                <w:rPr>
                  <w:rFonts w:ascii="Calibri" w:hAnsi="Calibri"/>
                  <w:color w:val="0563C1"/>
                  <w:u w:val="single"/>
                  <w:sz w:val="15"/>
                  <w:szCs w:val="15"/>
                </w:rPr>
                <w:t>F4</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Mega 33 is identical. A January 2018 exact-question thread posts a candidate count and a pair-of-planes counting argument; no official verification was found.</w:t>
            </w:r>
          </w:p>
        </w:tc>
        <w:tc>
          <w:tcPr>
            <w:tcW w:type="dxa" w:w="1100"/>
            <w:tcMar>
              <w:top w:w="90" w:type="dxa"/>
              <w:start w:w="110" w:type="dxa"/>
              <w:bottom w:w="90" w:type="dxa"/>
              <w:end w:w="110" w:type="dxa"/>
            </w:tcMar>
            <w:vAlign w:val="top"/>
            <w:shd w:fill="FFF2CC"/>
          </w:tcPr>
          <w:p>
            <w:pPr>
              <w:spacing w:before="0" w:after="0" w:line="240" w:lineRule="auto"/>
              <w:jc w:val="center"/>
            </w:pPr>
            <w:r>
              <w:rPr>
                <w:rFonts w:ascii="Calibri" w:hAnsi="Calibri"/>
                <w:b w:val="0"/>
                <w:i w:val="0"/>
                <w:sz w:val="15"/>
              </w:rPr>
              <w:t>Medium</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29</w:t>
            </w:r>
          </w:p>
        </w:tc>
        <w:tc>
          <w:tcPr>
            <w:tcW w:type="dxa" w:w="2600"/>
            <w:tcMar>
              <w:top w:w="90" w:type="dxa"/>
              <w:start w:w="110" w:type="dxa"/>
              <w:bottom w:w="90" w:type="dxa"/>
              <w:end w:w="110" w:type="dxa"/>
            </w:tcMar>
            <w:vAlign w:val="top"/>
          </w:tcPr>
          <w:p>
            <w:pPr>
              <w:spacing w:after="0"/>
            </w:pPr>
            <w:r>
              <w:rPr>
                <w:rFonts w:ascii="Calibri" w:hAnsi="Calibri"/>
                <w:b w:val="0"/>
                <w:i w:val="0"/>
                <w:sz w:val="15"/>
              </w:rPr>
              <w:t>“diagonal… across each… cube”</w:t>
            </w:r>
          </w:p>
        </w:tc>
        <w:tc>
          <w:tcPr>
            <w:tcW w:type="dxa" w:w="1800"/>
            <w:tcMar>
              <w:top w:w="90" w:type="dxa"/>
              <w:start w:w="110" w:type="dxa"/>
              <w:bottom w:w="90" w:type="dxa"/>
              <w:end w:w="110" w:type="dxa"/>
            </w:tcMar>
            <w:vAlign w:val="top"/>
          </w:tcPr>
          <w:p>
            <w:pPr>
              <w:spacing w:after="0"/>
            </w:pPr>
            <w:r>
              <w:rPr>
                <w:rFonts w:ascii="Calibri" w:hAnsi="Calibri"/>
                <w:b w:val="0"/>
                <w:i w:val="0"/>
                <w:sz w:val="15"/>
              </w:rPr>
              <w:t>Exact Titan 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18">
              <w:r>
                <w:rPr>
                  <w:color w:val="2E74B5"/>
                  <w:u w:val="single"/>
                  <w:sz w:val="18"/>
                </w:rPr>
                <w:t>R2</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30 maps to Power 29; 2005 thread gives a schematic enumeration, with Burnside/Pólya noted independently.</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30</w:t>
            </w:r>
          </w:p>
        </w:tc>
        <w:tc>
          <w:tcPr>
            <w:tcW w:type="dxa" w:w="2600"/>
            <w:tcMar>
              <w:top w:w="90" w:type="dxa"/>
              <w:start w:w="110" w:type="dxa"/>
              <w:bottom w:w="90" w:type="dxa"/>
              <w:end w:w="110" w:type="dxa"/>
            </w:tcMar>
            <w:vAlign w:val="top"/>
          </w:tcPr>
          <w:p>
            <w:pPr>
              <w:spacing w:after="0"/>
            </w:pPr>
            <w:r>
              <w:rPr>
                <w:rFonts w:ascii="Calibri" w:hAnsi="Calibri"/>
                <w:b w:val="0"/>
                <w:i w:val="0"/>
                <w:sz w:val="15"/>
              </w:rPr>
              <w:t>“two… edges… dodecahedron… white”</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 worked equivalent</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r>
              <w:rPr>
                <w:rFonts w:ascii="Calibri" w:hAnsi="Calibri"/>
                <w:b w:val="0"/>
                <w:i w:val="0"/>
                <w:sz w:val="15"/>
              </w:rPr>
              <w:t xml:space="preserve">, </w:t>
            </w:r>
            <w:hyperlink r:id="rId42">
              <w:r>
                <w:rPr>
                  <w:rFonts w:ascii="Calibri" w:hAnsi="Calibri"/>
                  <w:color w:val="0563C1"/>
                  <w:u w:val="single"/>
                  <w:sz w:val="15"/>
                  <w:szCs w:val="15"/>
                </w:rPr>
                <w:t>M3</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40 explicitly cross-references Power 30. A 2023 Mathematics Stack Exchange question is mathematically identical and gives the result and Burnside/Polya route.</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31</w:t>
            </w:r>
          </w:p>
        </w:tc>
        <w:tc>
          <w:tcPr>
            <w:tcW w:type="dxa" w:w="2600"/>
            <w:tcMar>
              <w:top w:w="90" w:type="dxa"/>
              <w:start w:w="110" w:type="dxa"/>
              <w:bottom w:w="90" w:type="dxa"/>
              <w:end w:w="110" w:type="dxa"/>
            </w:tcMar>
            <w:vAlign w:val="top"/>
          </w:tcPr>
          <w:p>
            <w:pPr>
              <w:spacing w:after="0"/>
            </w:pPr>
            <w:r>
              <w:rPr>
                <w:rFonts w:ascii="Calibri" w:hAnsi="Calibri"/>
                <w:b w:val="0"/>
                <w:i w:val="0"/>
                <w:sz w:val="15"/>
              </w:rPr>
              <w:t>“ten marbles… tosses… unbiased coin”</w:t>
            </w:r>
          </w:p>
        </w:tc>
        <w:tc>
          <w:tcPr>
            <w:tcW w:type="dxa" w:w="1800"/>
            <w:tcMar>
              <w:top w:w="90" w:type="dxa"/>
              <w:start w:w="110" w:type="dxa"/>
              <w:bottom w:w="90" w:type="dxa"/>
              <w:end w:w="110" w:type="dxa"/>
            </w:tcMar>
            <w:vAlign w:val="top"/>
          </w:tcPr>
          <w:p>
            <w:pPr>
              <w:spacing w:after="0"/>
            </w:pPr>
            <w:r>
              <w:rPr>
                <w:rFonts w:ascii="Calibri" w:hAnsi="Calibri"/>
                <w:b w:val="0"/>
                <w:i w:val="0"/>
                <w:sz w:val="15"/>
              </w:rPr>
              <w:t>Exact current/predecessor</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T1</w:t>
              </w:r>
            </w:hyperlink>
            <w:r>
              <w:rPr>
                <w:rFonts w:ascii="Calibri" w:hAnsi="Calibri"/>
                <w:b w:val="0"/>
                <w:i w:val="0"/>
                <w:sz w:val="15"/>
              </w:rPr>
              <w:t xml:space="preserve">, </w:t>
            </w:r>
            <w:hyperlink r:id="rId15">
              <w:r>
                <w:rPr>
                  <w:color w:val="2E74B5"/>
                  <w:u w:val="single"/>
                  <w:sz w:val="18"/>
                </w:rPr>
                <w:t>U1</w:t>
              </w:r>
            </w:hyperlink>
            <w:r>
              <w:rPr>
                <w:rFonts w:ascii="Calibri" w:hAnsi="Calibri"/>
                <w:b w:val="0"/>
                <w:i w:val="0"/>
                <w:sz w:val="15"/>
              </w:rPr>
              <w:t xml:space="preserve">, </w:t>
            </w:r>
            <w:hyperlink r:id="rId26">
              <w:r>
                <w:rPr>
                  <w:color w:val="2E74B5"/>
                  <w:u w:val="single"/>
                  <w:sz w:val="18"/>
                </w:rPr>
                <w:t>M2</w:t>
              </w:r>
            </w:hyperlink>
            <w:r>
              <w:rPr>
                <w:rFonts w:ascii="Calibri" w:hAnsi="Calibri"/>
                <w:b w:val="0"/>
                <w:i w:val="0"/>
                <w:sz w:val="15"/>
              </w:rPr>
              <w:t xml:space="preserve">, </w:t>
            </w:r>
            <w:hyperlink r:id="rId21">
              <w:r>
                <w:rPr>
                  <w:color w:val="2E74B5"/>
                  <w:u w:val="single"/>
                  <w:sz w:val="18"/>
                </w:rPr>
                <w:t>C1</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Titan 37 maps to Power 31; full Bayesian calculation was public by 2005 and independently on Math StackExchange in 2015.</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32</w:t>
            </w:r>
          </w:p>
        </w:tc>
        <w:tc>
          <w:tcPr>
            <w:tcW w:type="dxa" w:w="2600"/>
            <w:tcMar>
              <w:top w:w="90" w:type="dxa"/>
              <w:start w:w="110" w:type="dxa"/>
              <w:bottom w:w="90" w:type="dxa"/>
              <w:end w:w="110" w:type="dxa"/>
            </w:tcMar>
            <w:vAlign w:val="top"/>
          </w:tcPr>
          <w:p>
            <w:pPr>
              <w:spacing w:after="0"/>
            </w:pPr>
            <w:r>
              <w:rPr>
                <w:rFonts w:ascii="Calibri" w:hAnsi="Calibri"/>
                <w:b w:val="0"/>
                <w:i w:val="0"/>
                <w:sz w:val="15"/>
              </w:rPr>
              <w:t>visual sequence item 32</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 decisive rule</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r>
              <w:rPr>
                <w:rFonts w:ascii="Calibri" w:hAnsi="Calibri"/>
                <w:b w:val="0"/>
                <w:i w:val="0"/>
                <w:sz w:val="15"/>
              </w:rPr>
              <w:t xml:space="preserve">, </w:t>
            </w:r>
            <w:hyperlink r:id="rId27">
              <w:r>
                <w:rPr>
                  <w:rFonts w:ascii="Calibri" w:hAnsi="Calibri"/>
                  <w:color w:val="0563C1"/>
                  <w:u w:val="single"/>
                  <w:sz w:val="15"/>
                  <w:szCs w:val="15"/>
                </w:rPr>
                <w:t>R3</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50 and Power 32 use the same image row. A December 2024 post identifies the item and gives the operative movement rules and resulting pattern.</w:t>
            </w:r>
          </w:p>
        </w:tc>
        <w:tc>
          <w:tcPr>
            <w:tcW w:type="dxa" w:w="1100"/>
            <w:tcMar>
              <w:top w:w="90" w:type="dxa"/>
              <w:start w:w="110" w:type="dxa"/>
              <w:bottom w:w="90" w:type="dxa"/>
              <w:end w:w="110" w:type="dxa"/>
            </w:tcMar>
            <w:vAlign w:val="top"/>
            <w:shd w:fill="FCE4D6"/>
          </w:tcPr>
          <w:p>
            <w:pPr>
              <w:spacing w:before="0" w:after="0" w:line="240" w:lineRule="auto"/>
              <w:jc w:val="center"/>
            </w:pPr>
            <w:r>
              <w:rPr>
                <w:rFonts w:ascii="Calibri" w:hAnsi="Calibri"/>
                <w:b w:val="0"/>
                <w:i w:val="0"/>
                <w:sz w:val="15"/>
              </w:rPr>
              <w:t>High</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33</w:t>
            </w:r>
          </w:p>
        </w:tc>
        <w:tc>
          <w:tcPr>
            <w:tcW w:type="dxa" w:w="2600"/>
            <w:tcMar>
              <w:top w:w="90" w:type="dxa"/>
              <w:start w:w="110" w:type="dxa"/>
              <w:bottom w:w="90" w:type="dxa"/>
              <w:end w:w="110" w:type="dxa"/>
            </w:tcMar>
            <w:vAlign w:val="top"/>
          </w:tcPr>
          <w:p>
            <w:pPr>
              <w:spacing w:after="0"/>
            </w:pPr>
            <w:r>
              <w:rPr>
                <w:rFonts w:ascii="Calibri" w:hAnsi="Calibri"/>
                <w:b w:val="0"/>
                <w:i w:val="0"/>
                <w:sz w:val="15"/>
              </w:rPr>
              <w:t>visual sequence item 33</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prompt only</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52 is the same visual sequence. No independently verified worked answer or substantial hint was found.</w:t>
            </w:r>
          </w:p>
        </w:tc>
        <w:tc>
          <w:tcPr>
            <w:tcW w:type="dxa" w:w="1100"/>
            <w:tcMar>
              <w:top w:w="90" w:type="dxa"/>
              <w:start w:w="110" w:type="dxa"/>
              <w:bottom w:w="90" w:type="dxa"/>
              <w:end w:w="110" w:type="dxa"/>
            </w:tcMar>
            <w:vAlign w:val="top"/>
            <w:shd w:fill="E2F0D9"/>
          </w:tcPr>
          <w:p>
            <w:pPr>
              <w:spacing w:before="0" w:after="0" w:line="240" w:lineRule="auto"/>
              <w:jc w:val="center"/>
            </w:pPr>
            <w:r>
              <w:rPr>
                <w:rFonts w:ascii="Calibri" w:hAnsi="Calibri"/>
                <w:b w:val="0"/>
                <w:i w:val="0"/>
                <w:sz w:val="15"/>
              </w:rPr>
              <w:t>Low</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34</w:t>
            </w:r>
          </w:p>
        </w:tc>
        <w:tc>
          <w:tcPr>
            <w:tcW w:type="dxa" w:w="2600"/>
            <w:tcMar>
              <w:top w:w="90" w:type="dxa"/>
              <w:start w:w="110" w:type="dxa"/>
              <w:bottom w:w="90" w:type="dxa"/>
              <w:end w:w="110" w:type="dxa"/>
            </w:tcMar>
            <w:vAlign w:val="top"/>
          </w:tcPr>
          <w:p>
            <w:pPr>
              <w:spacing w:after="0"/>
            </w:pPr>
            <w:r>
              <w:rPr>
                <w:rFonts w:ascii="Calibri" w:hAnsi="Calibri"/>
                <w:b w:val="0"/>
                <w:i w:val="0"/>
                <w:sz w:val="15"/>
              </w:rPr>
              <w:t>visual sequence item 34</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prompt only</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54 is the same visual sequence. No independently verified worked answer or substantial hint was found.</w:t>
            </w:r>
          </w:p>
        </w:tc>
        <w:tc>
          <w:tcPr>
            <w:tcW w:type="dxa" w:w="1100"/>
            <w:tcMar>
              <w:top w:w="90" w:type="dxa"/>
              <w:start w:w="110" w:type="dxa"/>
              <w:bottom w:w="90" w:type="dxa"/>
              <w:end w:w="110" w:type="dxa"/>
            </w:tcMar>
            <w:vAlign w:val="top"/>
            <w:shd w:fill="E2F0D9"/>
          </w:tcPr>
          <w:p>
            <w:pPr>
              <w:spacing w:before="0" w:after="0" w:line="240" w:lineRule="auto"/>
              <w:jc w:val="center"/>
            </w:pPr>
            <w:r>
              <w:rPr>
                <w:rFonts w:ascii="Calibri" w:hAnsi="Calibri"/>
                <w:b w:val="0"/>
                <w:i w:val="0"/>
                <w:sz w:val="15"/>
              </w:rPr>
              <w:t>Low</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35</w:t>
            </w:r>
          </w:p>
        </w:tc>
        <w:tc>
          <w:tcPr>
            <w:tcW w:type="dxa" w:w="2600"/>
            <w:tcMar>
              <w:top w:w="90" w:type="dxa"/>
              <w:start w:w="110" w:type="dxa"/>
              <w:bottom w:w="90" w:type="dxa"/>
              <w:end w:w="110" w:type="dxa"/>
            </w:tcMar>
            <w:vAlign w:val="top"/>
          </w:tcPr>
          <w:p>
            <w:pPr>
              <w:spacing w:after="0"/>
            </w:pPr>
            <w:r>
              <w:rPr>
                <w:rFonts w:ascii="Calibri" w:hAnsi="Calibri"/>
                <w:b w:val="0"/>
                <w:i w:val="0"/>
                <w:sz w:val="15"/>
              </w:rPr>
              <w:t>visual sequence item 35</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Exact Ultra predecessor; prompt only</w:t>
            </w:r>
          </w:p>
        </w:tc>
        <w:tc>
          <w:tcPr>
            <w:tcW w:type="dxa" w:w="1350"/>
            <w:tcMar>
              <w:top w:w="90" w:type="dxa"/>
              <w:start w:w="110" w:type="dxa"/>
              <w:bottom w:w="90" w:type="dxa"/>
              <w:end w:w="110" w:type="dxa"/>
            </w:tcMar>
            <w:vAlign w:val="top"/>
          </w:tcPr>
          <w:p>
            <w:pPr>
              <w:spacing w:before="0" w:after="0" w:line="240" w:lineRule="auto"/>
            </w:pPr>
            <w:hyperlink r:id="rId39">
              <w:r>
                <w:rPr>
                  <w:rFonts w:ascii="Calibri" w:hAnsi="Calibri"/>
                  <w:color w:val="0563C1"/>
                  <w:u w:val="single"/>
                  <w:sz w:val="15"/>
                  <w:szCs w:val="15"/>
                </w:rPr>
                <w:t>UL1</w:t>
              </w:r>
            </w:hyperlink>
          </w:p>
        </w:tc>
        <w:tc>
          <w:tcPr>
            <w:tcW w:type="dxa" w:w="635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53 is the same visual sequence. No independently verified worked answer or substantial hint was found.</w:t>
            </w:r>
          </w:p>
        </w:tc>
        <w:tc>
          <w:tcPr>
            <w:tcW w:type="dxa" w:w="1100"/>
            <w:tcMar>
              <w:top w:w="90" w:type="dxa"/>
              <w:start w:w="110" w:type="dxa"/>
              <w:bottom w:w="90" w:type="dxa"/>
              <w:end w:w="110" w:type="dxa"/>
            </w:tcMar>
            <w:vAlign w:val="top"/>
            <w:shd w:fill="E2F0D9"/>
          </w:tcPr>
          <w:p>
            <w:pPr>
              <w:spacing w:before="0" w:after="0" w:line="240" w:lineRule="auto"/>
              <w:jc w:val="center"/>
            </w:pPr>
            <w:r>
              <w:rPr>
                <w:rFonts w:ascii="Calibri" w:hAnsi="Calibri"/>
                <w:b w:val="0"/>
                <w:i w:val="0"/>
                <w:sz w:val="15"/>
              </w:rPr>
              <w:t>Low</w:t>
            </w:r>
          </w:p>
        </w:tc>
      </w:tr>
      <w:tr>
        <w:trPr>
          <w:cantSplit w:val="true"/>
        </w:trPr>
        <w:tc>
          <w:tcPr>
            <w:tcW w:type="dxa" w:w="500"/>
            <w:tcMar>
              <w:top w:w="90" w:type="dxa"/>
              <w:start w:w="110" w:type="dxa"/>
              <w:bottom w:w="90" w:type="dxa"/>
              <w:end w:w="110" w:type="dxa"/>
            </w:tcMar>
            <w:vAlign w:val="top"/>
          </w:tcPr>
          <w:p>
            <w:pPr>
              <w:spacing w:after="0"/>
            </w:pPr>
            <w:r>
              <w:rPr>
                <w:rFonts w:ascii="Calibri" w:hAnsi="Calibri"/>
                <w:b w:val="0"/>
                <w:i w:val="0"/>
                <w:sz w:val="15"/>
              </w:rPr>
              <w:t>36</w:t>
            </w:r>
          </w:p>
        </w:tc>
        <w:tc>
          <w:tcPr>
            <w:tcW w:type="dxa" w:w="2600"/>
            <w:tcMar>
              <w:top w:w="90" w:type="dxa"/>
              <w:start w:w="110" w:type="dxa"/>
              <w:bottom w:w="90" w:type="dxa"/>
              <w:end w:w="110" w:type="dxa"/>
            </w:tcMar>
            <w:vAlign w:val="top"/>
          </w:tcPr>
          <w:p>
            <w:pPr>
              <w:spacing w:after="0"/>
            </w:pPr>
            <w:r>
              <w:rPr>
                <w:rFonts w:ascii="Calibri" w:hAnsi="Calibri"/>
                <w:b w:val="0"/>
                <w:i w:val="0"/>
                <w:sz w:val="15"/>
              </w:rPr>
              <w:t>moving-player panel sequence</w:t>
            </w:r>
          </w:p>
        </w:tc>
        <w:tc>
          <w:tcPr>
            <w:tcW w:type="dxa" w:w="1800"/>
            <w:tcMar>
              <w:top w:w="90" w:type="dxa"/>
              <w:start w:w="110" w:type="dxa"/>
              <w:bottom w:w="90" w:type="dxa"/>
              <w:end w:w="110" w:type="dxa"/>
            </w:tcMar>
            <w:vAlign w:val="top"/>
          </w:tcPr>
          <w:p>
            <w:pPr>
              <w:spacing w:after="0"/>
            </w:pPr>
            <w:r>
              <w:rPr>
                <w:rFonts w:ascii="Calibri" w:hAnsi="Calibri"/>
                <w:b w:val="0"/>
                <w:i w:val="0"/>
                <w:sz w:val="15"/>
              </w:rPr>
              <w:t>Exact image + substantial hint</w:t>
            </w:r>
          </w:p>
        </w:tc>
        <w:tc>
          <w:tcPr>
            <w:tcW w:type="dxa" w:w="1350"/>
            <w:tcMar>
              <w:top w:w="90" w:type="dxa"/>
              <w:start w:w="110" w:type="dxa"/>
              <w:bottom w:w="90" w:type="dxa"/>
              <w:end w:w="110" w:type="dxa"/>
            </w:tcMar>
            <w:vAlign w:val="top"/>
          </w:tcPr>
          <w:p>
            <w:pPr>
              <w:spacing w:after="0"/>
            </w:pPr>
            <w:r>
              <w:rPr>
                <w:rFonts w:ascii="Calibri" w:hAnsi="Calibri"/>
                <w:b w:val="0"/>
                <w:i w:val="0"/>
                <w:sz w:val="15"/>
              </w:rPr>
            </w:r>
            <w:hyperlink r:id="rId28">
              <w:r>
                <w:rPr>
                  <w:color w:val="2E74B5"/>
                  <w:u w:val="single"/>
                  <w:sz w:val="18"/>
                </w:rPr>
                <w:t>U4</w:t>
              </w:r>
            </w:hyperlink>
          </w:p>
        </w:tc>
        <w:tc>
          <w:tcPr>
            <w:tcW w:type="dxa" w:w="6350"/>
            <w:tcMar>
              <w:top w:w="90" w:type="dxa"/>
              <w:start w:w="110" w:type="dxa"/>
              <w:bottom w:w="90" w:type="dxa"/>
              <w:end w:w="110" w:type="dxa"/>
            </w:tcMar>
            <w:vAlign w:val="top"/>
          </w:tcPr>
          <w:p>
            <w:pPr>
              <w:spacing w:after="0"/>
            </w:pPr>
            <w:r>
              <w:rPr>
                <w:rFonts w:ascii="Calibri" w:hAnsi="Calibri"/>
                <w:b w:val="0"/>
                <w:i w:val="0"/>
                <w:sz w:val="15"/>
              </w:rPr>
              <w:t>Explicitly identified as Power 36; public hint says every player moves between panels.</w:t>
            </w:r>
          </w:p>
        </w:tc>
        <w:tc>
          <w:tcPr>
            <w:tcW w:type="dxa" w:w="1100"/>
            <w:tcMar>
              <w:top w:w="90" w:type="dxa"/>
              <w:start w:w="110" w:type="dxa"/>
              <w:bottom w:w="90" w:type="dxa"/>
              <w:end w:w="110" w:type="dxa"/>
            </w:tcMar>
            <w:vAlign w:val="top"/>
            <w:shd w:fill="FCE4D6"/>
          </w:tcPr>
          <w:p>
            <w:pPr>
              <w:spacing w:after="0"/>
            </w:pPr>
            <w:r>
              <w:rPr>
                <w:rFonts w:ascii="Calibri" w:hAnsi="Calibri"/>
                <w:b w:val="0"/>
                <w:i w:val="0"/>
                <w:sz w:val="15"/>
              </w:rPr>
              <w:t>High</w:t>
            </w:r>
          </w:p>
        </w:tc>
      </w:tr>
    </w:tbl>
    <w:p>
      <w:r>
        <w:br w:type="page"/>
      </w:r>
    </w:p>
    <w:p>
      <w:pPr>
        <w:pStyle w:val="Heading2"/>
      </w:pPr>
      <w:r>
        <w:t>Predecessor carryovers added in the 4 August 2026 revision</w:t>
      </w:r>
    </w:p>
    <w:p>
      <w:r>
        <w:rPr>
          <w:rFonts w:ascii="Calibri" w:hAnsi="Calibri"/>
          <w:b w:val="0"/>
          <w:i w:val="0"/>
          <w:sz w:val="18"/>
        </w:rPr>
        <w:t>Direct wording/diagram comparison identifies 13 Mega and seven Ultra carryovers. Together with the corrected 15-item Titan set, these account for 35 distinct Power items. Numerical answer values remain omitted. Confidence below grades the depth of public answer/hint exposure, not the correctness of an unofficial result.</w:t>
      </w:r>
    </w:p>
    <w:tbl>
      <w:tblPr>
        <w:tblStyle w:val="TableGrid"/>
        <w:tblW w:type="dxa" w:w="14050"/>
        <w:tblLayout w:type="fixed"/>
        <w:tblLook w:firstColumn="1" w:firstRow="1" w:lastColumn="0" w:lastRow="0" w:noHBand="0" w:noVBand="1" w:val="04A0"/>
        <w:tblInd w:w="120" w:type="dxa"/>
      </w:tblPr>
      <w:tblGrid>
        <w:gridCol w:w="1400"/>
        <w:gridCol w:w="2600"/>
        <w:gridCol w:w="9000"/>
        <w:gridCol w:w="1050"/>
      </w:tblGrid>
      <w:tr>
        <w:trPr>
          <w:tblHeader/>
          <w:cantSplit/>
        </w:trPr>
        <w:tc>
          <w:tcPr>
            <w:tcW w:type="dxa" w:w="14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Mega -&gt; Power</w:t>
            </w:r>
          </w:p>
        </w:tc>
        <w:tc>
          <w:tcPr>
            <w:tcW w:type="dxa" w:w="26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Match</w:t>
            </w:r>
          </w:p>
        </w:tc>
        <w:tc>
          <w:tcPr>
            <w:tcW w:type="dxa" w:w="90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Public answer/hint evidence</w:t>
            </w:r>
          </w:p>
        </w:tc>
        <w:tc>
          <w:tcPr>
            <w:tcW w:type="dxa" w:w="105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Conf.</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M27 -&gt; P1</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prompt and diagram</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2009 construction/candidate minimum [ME1, U3].</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M28 -&gt; P3</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2017 three-rectangle configuration gives a lower bound; no maximum proof [ME1, C2].</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M29 -&gt; P16</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prompt and diagram</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Prompt reproductions only; no substantive solution verified [ME1, C1].</w:t>
            </w:r>
          </w:p>
        </w:tc>
        <w:tc>
          <w:tcPr>
            <w:tcW w:type="dxa" w:w="1050"/>
            <w:vAlign w:val="top"/>
            <w:tcMar>
              <w:top w:w="90" w:type="dxa"/>
              <w:start w:w="110" w:type="dxa"/>
              <w:bottom w:w="90" w:type="dxa"/>
              <w:end w:w="110" w:type="dxa"/>
            </w:tcMar>
            <w:shd w:fill="E2F0D9"/>
          </w:tcPr>
          <w:p>
            <w:pPr>
              <w:spacing w:before="0" w:after="0" w:line="240" w:lineRule="auto"/>
              <w:jc w:val="center"/>
            </w:pPr>
            <w:r>
              <w:rPr>
                <w:rFonts w:ascii="Calibri" w:hAnsi="Calibri"/>
                <w:b w:val="0"/>
                <w:i w:val="0"/>
                <w:sz w:val="15"/>
              </w:rPr>
              <w:t>Low</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M31 -&gt; P9</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prompt and diagram</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Public sixth-view candidate; not authenticated [ME1, U3].</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M32 -&gt; P20</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Explicit route and upper-bound proof [ME1, U3].</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M33 -&gt; P28</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Candidate count and counting argument in a 2018 exact-question thread [ME1, F4].</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M34 -&gt; P8</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Detailed 2001 case analysis and group-action derivation [ME1, U2].</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M35 -&gt; P12</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Maximum-regions theorem publicly identified as the direct route [ME1, R2, M1].</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M36 -&gt; P26</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Detailed public decompositions; competing totals remain [ME1, G1, H1].</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M37 -&gt; P17</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Candidate percentage, but author flags possible rule misreading and gives no derivation [ME1, U3].</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M38 -&gt; P14</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Balanced-ternary method and classical Bachet treatment [ME1, R1, A1].</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M39 -&gt; P18</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Same construction; layer count changed</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Complete summation method transfers directly to the changed parameter [ME1, R1].</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M41 -&gt; P15</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Exact-question thread exposes a proposed result and explanation [ME1, F2].</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bl>
    <w:p>
      <w:pPr>
        <w:pStyle w:val="Heading2"/>
      </w:pPr>
      <w:r>
        <w:t>Ultra -&gt; Power carryovers</w:t>
      </w:r>
    </w:p>
    <w:tbl>
      <w:tblPr>
        <w:tblStyle w:val="TableGrid"/>
        <w:tblW w:type="dxa" w:w="14050"/>
        <w:tblLayout w:type="fixed"/>
        <w:tblLook w:firstColumn="1" w:firstRow="1" w:lastColumn="0" w:lastRow="0" w:noHBand="0" w:noVBand="1" w:val="04A0"/>
        <w:tblInd w:w="120" w:type="dxa"/>
      </w:tblPr>
      <w:tblGrid>
        <w:gridCol w:w="1400"/>
        <w:gridCol w:w="2600"/>
        <w:gridCol w:w="9000"/>
        <w:gridCol w:w="1050"/>
      </w:tblGrid>
      <w:tr>
        <w:trPr>
          <w:tblHeader/>
          <w:cantSplit/>
        </w:trPr>
        <w:tc>
          <w:tcPr>
            <w:tcW w:type="dxa" w:w="14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Ultra -&gt; Power</w:t>
            </w:r>
          </w:p>
        </w:tc>
        <w:tc>
          <w:tcPr>
            <w:tcW w:type="dxa" w:w="26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Match</w:t>
            </w:r>
          </w:p>
        </w:tc>
        <w:tc>
          <w:tcPr>
            <w:tcW w:type="dxa" w:w="900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Public answer/hint evidence</w:t>
            </w:r>
          </w:p>
        </w:tc>
        <w:tc>
          <w:tcPr>
            <w:tcW w:type="dxa" w:w="1050"/>
            <w:vAlign w:val="center"/>
            <w:tcMar>
              <w:top w:w="90" w:type="dxa"/>
              <w:start w:w="110" w:type="dxa"/>
              <w:bottom w:w="90" w:type="dxa"/>
              <w:end w:w="110" w:type="dxa"/>
            </w:tcMar>
            <w:shd w:fill="F2F4F7"/>
          </w:tcPr>
          <w:p>
            <w:pPr>
              <w:spacing w:before="0" w:after="0" w:line="240" w:lineRule="auto"/>
              <w:jc w:val="left"/>
            </w:pPr>
            <w:r>
              <w:rPr>
                <w:rFonts w:ascii="Calibri" w:hAnsi="Calibri"/>
                <w:b/>
                <w:i w:val="0"/>
                <w:color w:val="1F4E79"/>
                <w:sz w:val="16"/>
              </w:rPr>
              <w:t>Conf.</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U40 -&gt; P30</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official cross-reference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A mathematically identical 2023 question publishes the result and Burnside/Polya route [UL1, M3].</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U43 -&gt; P5</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official cross-reference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Item-linked answer artifact and Burnside/Polya method; no accessible verified calculation [UL1, R1, R2].</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U44 -&gt; P6</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official cross-reference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Burnside/Polya method exposed; no exact independent worked value verified [UL1, R2].</w:t>
            </w:r>
          </w:p>
        </w:tc>
        <w:tc>
          <w:tcPr>
            <w:tcW w:type="dxa" w:w="1050"/>
            <w:vAlign w:val="top"/>
            <w:tcMar>
              <w:top w:w="90" w:type="dxa"/>
              <w:start w:w="110" w:type="dxa"/>
              <w:bottom w:w="90" w:type="dxa"/>
              <w:end w:w="110" w:type="dxa"/>
            </w:tcMar>
            <w:shd w:fill="FFF2CC"/>
          </w:tcPr>
          <w:p>
            <w:pPr>
              <w:spacing w:before="0" w:after="0" w:line="240" w:lineRule="auto"/>
              <w:jc w:val="center"/>
            </w:pPr>
            <w:r>
              <w:rPr>
                <w:rFonts w:ascii="Calibri" w:hAnsi="Calibri"/>
                <w:b w:val="0"/>
                <w:i w:val="0"/>
                <w:sz w:val="15"/>
              </w:rPr>
              <w:t>Medium</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U50 -&gt; P32</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image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December 2024 post gives the image, movement rules and resulting pattern [UL1, R3].</w:t>
            </w:r>
          </w:p>
        </w:tc>
        <w:tc>
          <w:tcPr>
            <w:tcW w:type="dxa" w:w="1050"/>
            <w:vAlign w:val="top"/>
            <w:tcMar>
              <w:top w:w="90" w:type="dxa"/>
              <w:start w:w="110" w:type="dxa"/>
              <w:bottom w:w="90" w:type="dxa"/>
              <w:end w:w="110" w:type="dxa"/>
            </w:tcMar>
            <w:shd w:fill="FCE4D6"/>
          </w:tcPr>
          <w:p>
            <w:pPr>
              <w:spacing w:before="0" w:after="0" w:line="240" w:lineRule="auto"/>
              <w:jc w:val="center"/>
            </w:pPr>
            <w:r>
              <w:rPr>
                <w:rFonts w:ascii="Calibri" w:hAnsi="Calibri"/>
                <w:b w:val="0"/>
                <w:i w:val="0"/>
                <w:sz w:val="15"/>
              </w:rPr>
              <w:t>High</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U52 -&gt; P33</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image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No substantive public answer or hint independently verified [UL1].</w:t>
            </w:r>
          </w:p>
        </w:tc>
        <w:tc>
          <w:tcPr>
            <w:tcW w:type="dxa" w:w="1050"/>
            <w:vAlign w:val="top"/>
            <w:tcMar>
              <w:top w:w="90" w:type="dxa"/>
              <w:start w:w="110" w:type="dxa"/>
              <w:bottom w:w="90" w:type="dxa"/>
              <w:end w:w="110" w:type="dxa"/>
            </w:tcMar>
            <w:shd w:fill="E2F0D9"/>
          </w:tcPr>
          <w:p>
            <w:pPr>
              <w:spacing w:before="0" w:after="0" w:line="240" w:lineRule="auto"/>
              <w:jc w:val="center"/>
            </w:pPr>
            <w:r>
              <w:rPr>
                <w:rFonts w:ascii="Calibri" w:hAnsi="Calibri"/>
                <w:b w:val="0"/>
                <w:i w:val="0"/>
                <w:sz w:val="15"/>
              </w:rPr>
              <w:t>Low</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U53 -&gt; P35</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image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No substantive public answer or hint independently verified [UL1].</w:t>
            </w:r>
          </w:p>
        </w:tc>
        <w:tc>
          <w:tcPr>
            <w:tcW w:type="dxa" w:w="1050"/>
            <w:vAlign w:val="top"/>
            <w:tcMar>
              <w:top w:w="90" w:type="dxa"/>
              <w:start w:w="110" w:type="dxa"/>
              <w:bottom w:w="90" w:type="dxa"/>
              <w:end w:w="110" w:type="dxa"/>
            </w:tcMar>
            <w:shd w:fill="E2F0D9"/>
          </w:tcPr>
          <w:p>
            <w:pPr>
              <w:spacing w:before="0" w:after="0" w:line="240" w:lineRule="auto"/>
              <w:jc w:val="center"/>
            </w:pPr>
            <w:r>
              <w:rPr>
                <w:rFonts w:ascii="Calibri" w:hAnsi="Calibri"/>
                <w:b w:val="0"/>
                <w:i w:val="0"/>
                <w:sz w:val="15"/>
              </w:rPr>
              <w:t>Low</w:t>
            </w:r>
          </w:p>
        </w:tc>
      </w:tr>
      <w:tr>
        <w:trPr>
          <w:cantSplit/>
        </w:trPr>
        <w:tc>
          <w:tcPr>
            <w:tcW w:type="dxa" w:w="14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U54 -&gt; P34</w:t>
            </w:r>
          </w:p>
        </w:tc>
        <w:tc>
          <w:tcPr>
            <w:tcW w:type="dxa" w:w="26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image</w:t>
            </w:r>
          </w:p>
        </w:tc>
        <w:tc>
          <w:tcPr>
            <w:tcW w:type="dxa" w:w="9000"/>
            <w:vAlign w:val="top"/>
            <w:tcMar>
              <w:top w:w="90" w:type="dxa"/>
              <w:start w:w="110" w:type="dxa"/>
              <w:bottom w:w="90" w:type="dxa"/>
              <w:end w:w="110" w:type="dxa"/>
            </w:tcMar>
          </w:tcPr>
          <w:p>
            <w:pPr>
              <w:spacing w:before="0" w:after="0" w:line="240" w:lineRule="auto"/>
              <w:jc w:val="left"/>
            </w:pPr>
            <w:r>
              <w:rPr>
                <w:rFonts w:ascii="Calibri" w:hAnsi="Calibri"/>
                <w:b w:val="0"/>
                <w:i w:val="0"/>
                <w:sz w:val="15"/>
              </w:rPr>
              <w:t>No substantive public answer or hint independently verified [UL1].</w:t>
            </w:r>
          </w:p>
        </w:tc>
        <w:tc>
          <w:tcPr>
            <w:tcW w:type="dxa" w:w="1050"/>
            <w:vAlign w:val="top"/>
            <w:tcMar>
              <w:top w:w="90" w:type="dxa"/>
              <w:start w:w="110" w:type="dxa"/>
              <w:bottom w:w="90" w:type="dxa"/>
              <w:end w:w="110" w:type="dxa"/>
            </w:tcMar>
            <w:shd w:fill="E2F0D9"/>
          </w:tcPr>
          <w:p>
            <w:pPr>
              <w:spacing w:before="0" w:after="0" w:line="240" w:lineRule="auto"/>
              <w:jc w:val="center"/>
            </w:pPr>
            <w:r>
              <w:rPr>
                <w:rFonts w:ascii="Calibri" w:hAnsi="Calibri"/>
                <w:b w:val="0"/>
                <w:i w:val="0"/>
                <w:sz w:val="15"/>
              </w:rPr>
              <w:t>Low</w:t>
            </w:r>
          </w:p>
        </w:tc>
      </w:tr>
    </w:tbl>
    <w:p>
      <w:r>
        <w:rPr>
          <w:rFonts w:ascii="Calibri" w:hAnsi="Calibri"/>
          <w:b/>
          <w:i w:val="0"/>
          <w:color w:val="1F4E79"/>
          <w:sz w:val="17"/>
        </w:rPr>
        <w:t xml:space="preserve">False similarities excluded: </w:t>
      </w:r>
      <w:r>
        <w:rPr>
          <w:rFonts w:ascii="Calibri" w:hAnsi="Calibri"/>
          <w:b w:val="0"/>
          <w:i w:val="0"/>
          <w:sz w:val="17"/>
        </w:rPr>
        <w:t>Ultra 45 is not Power 9, and Ultra 51 is not Power 36; their cube-view and sequence figures differ. The official Ultra page identifies the shared blocks, while the exact visual-row mapping above was resolved by image comparison.</w:t>
      </w:r>
    </w:p>
    <w:p>
      <w:pPr>
        <w:pStyle w:val="Heading2"/>
        <w:keepNext/>
        <w:pageBreakBefore/>
      </w:pPr>
      <w:r>
        <w:t>Supplemental assessment — LLM solvability of lower-confidence items</w:t>
      </w:r>
    </w:p>
    <w:p>
      <w:pPr/>
      <w:r>
        <w:rPr>
          <w:b/>
          <w:color w:val="1F4E79"/>
        </w:rPr>
        <w:t xml:space="preserve">Scenario and limits. </w:t>
      </w:r>
      <w:r>
        <w:t>The forecast assumes a frontier multimodal LLM available on 4 August 2026, supplied with the official item image, public-source browsing, code or exhaustive search, and time to check its work. It is a reasoned forecast, not a direct item-level experiment or benchmark. 'Solvable' means capable of deriving and validating an answer, not merely repeating a posted candidate.</w:t>
      </w:r>
    </w:p>
    <w:tbl>
      <w:tblPr>
        <w:tblW w:type="dxa" w:w="14054"/>
        <w:jc w:val="left"/>
        <w:tblLayout w:type="fixed"/>
        <w:tblLook w:firstColumn="1" w:firstRow="1" w:lastColumn="0" w:lastRow="0" w:noHBand="0" w:noVBand="1" w:val="04A0"/>
        <w:tblInd w:type="dxa" w:w="120"/>
      </w:tblPr>
      <w:tblGrid>
        <w:gridCol w:w="14054"/>
      </w:tblGrid>
      <w:tr>
        <w:trPr/>
        <w:tc>
          <w:tcPr>
            <w:tcW w:type="dxa" w:w="14054"/>
            <w:shd w:fill="DDEBF7" w:val="clear"/>
            <w:tcMar>
              <w:top w:w="80" w:type="dxa"/>
              <w:bottom w:w="80" w:type="dxa"/>
              <w:start w:w="120" w:type="dxa"/>
              <w:end w:w="120" w:type="dxa"/>
            </w:tcMar>
          </w:tcPr>
          <w:p>
            <w:r>
              <w:rPr>
                <w:rFonts w:ascii="Calibri" w:hAnsi="Calibri"/>
                <w:b/>
                <w:color w:val="1F4E79"/>
                <w:sz w:val="18"/>
              </w:rPr>
              <w:t xml:space="preserve">Headline estimate. </w:t>
            </w:r>
            <w:r>
              <w:rPr>
                <w:rFonts w:ascii="Calibri" w:hAnsi="Calibri"/>
                <w:b w:val="0"/>
                <w:sz w:val="18"/>
              </w:rPr>
              <w:t>Under the previous grouping, 3 of 5 low items were likely solvable and 4 of 5 plausible; all 6 medium items were within reach, with about 5 reliable in one careful run. The newly verified P27 construction moves that item to medium, so the current audit contains seven medium and four low items.</w:t>
            </w:r>
          </w:p>
        </w:tc>
      </w:tr>
    </w:tbl>
    <w:tbl>
      <w:tblPr>
        <w:tblStyle w:val="TableGrid"/>
        <w:tblW w:type="dxa" w:w="14054"/>
        <w:jc w:val="left"/>
        <w:tblLayout w:type="fixed"/>
        <w:tblLook w:firstColumn="1" w:firstRow="1" w:lastColumn="0" w:lastRow="0" w:noHBand="0" w:noVBand="1" w:val="04A0"/>
        <w:tblInd w:type="dxa" w:w="120"/>
      </w:tblPr>
      <w:tblGrid>
        <w:gridCol w:w="691"/>
        <w:gridCol w:w="1123"/>
        <w:gridCol w:w="3816"/>
        <w:gridCol w:w="1656"/>
        <w:gridCol w:w="6768"/>
      </w:tblGrid>
      <w:tr>
        <w:trPr>
          <w:tblHeader w:val="true"/>
          <w:cantSplit/>
        </w:trPr>
        <w:tc>
          <w:tcPr>
            <w:tcW w:type="dxa" w:w="691"/>
            <w:vAlign w:val="center"/>
            <w:shd w:fill="D9E2F3" w:val="clear"/>
            <w:tcMar>
              <w:top w:w="80" w:type="dxa"/>
              <w:bottom w:w="80" w:type="dxa"/>
              <w:start w:w="120" w:type="dxa"/>
              <w:end w:w="120" w:type="dxa"/>
            </w:tcMar>
          </w:tcPr>
          <w:p>
            <w:r>
              <w:rPr>
                <w:rFonts w:ascii="Calibri" w:hAnsi="Calibri"/>
                <w:b/>
                <w:color w:val="1F4E79"/>
                <w:sz w:val="16"/>
              </w:rPr>
              <w:t>Item</w:t>
            </w:r>
          </w:p>
        </w:tc>
        <w:tc>
          <w:tcPr>
            <w:tcW w:type="dxa" w:w="1123"/>
            <w:vAlign w:val="center"/>
            <w:shd w:fill="D9E2F3" w:val="clear"/>
            <w:tcMar>
              <w:top w:w="80" w:type="dxa"/>
              <w:bottom w:w="80" w:type="dxa"/>
              <w:start w:w="120" w:type="dxa"/>
              <w:end w:w="120" w:type="dxa"/>
            </w:tcMar>
          </w:tcPr>
          <w:p>
            <w:r>
              <w:rPr>
                <w:rFonts w:ascii="Calibri" w:hAnsi="Calibri"/>
                <w:b/>
                <w:color w:val="1F4E79"/>
                <w:sz w:val="16"/>
              </w:rPr>
              <w:t>Current conf.</w:t>
            </w:r>
          </w:p>
        </w:tc>
        <w:tc>
          <w:tcPr>
            <w:tcW w:type="dxa" w:w="3816"/>
            <w:vAlign w:val="center"/>
            <w:shd w:fill="D9E2F3" w:val="clear"/>
            <w:tcMar>
              <w:top w:w="80" w:type="dxa"/>
              <w:bottom w:w="80" w:type="dxa"/>
              <w:start w:w="120" w:type="dxa"/>
              <w:end w:w="120" w:type="dxa"/>
            </w:tcMar>
          </w:tcPr>
          <w:p>
            <w:r>
              <w:rPr>
                <w:rFonts w:ascii="Calibri" w:hAnsi="Calibri"/>
                <w:b/>
                <w:color w:val="1F4E79"/>
                <w:sz w:val="16"/>
              </w:rPr>
              <w:t>Public leverage</w:t>
            </w:r>
          </w:p>
        </w:tc>
        <w:tc>
          <w:tcPr>
            <w:tcW w:type="dxa" w:w="1656"/>
            <w:vAlign w:val="center"/>
            <w:shd w:fill="D9E2F3" w:val="clear"/>
            <w:tcMar>
              <w:top w:w="80" w:type="dxa"/>
              <w:bottom w:w="80" w:type="dxa"/>
              <w:start w:w="120" w:type="dxa"/>
              <w:end w:w="120" w:type="dxa"/>
            </w:tcMar>
          </w:tcPr>
          <w:p>
            <w:r>
              <w:rPr>
                <w:rFonts w:ascii="Calibri" w:hAnsi="Calibri"/>
                <w:b/>
                <w:color w:val="1F4E79"/>
                <w:sz w:val="16"/>
              </w:rPr>
              <w:t>Forecast</w:t>
            </w:r>
          </w:p>
        </w:tc>
        <w:tc>
          <w:tcPr>
            <w:tcW w:type="dxa" w:w="6768"/>
            <w:vAlign w:val="center"/>
            <w:shd w:fill="D9E2F3" w:val="clear"/>
            <w:tcMar>
              <w:top w:w="80" w:type="dxa"/>
              <w:bottom w:w="80" w:type="dxa"/>
              <w:start w:w="120" w:type="dxa"/>
              <w:end w:w="120" w:type="dxa"/>
            </w:tcMar>
          </w:tcPr>
          <w:p>
            <w:r>
              <w:rPr>
                <w:rFonts w:ascii="Calibri" w:hAnsi="Calibri"/>
                <w:b/>
                <w:color w:val="1F4E79"/>
                <w:sz w:val="16"/>
              </w:rPr>
              <w:t>Reason / caveat</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P3</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Lower-bound configuration [</w:t>
            </w:r>
            <w:hyperlink r:id="rId40">
              <w:r>
                <w:rPr>
                  <w:rFonts w:ascii="Calibri" w:hAnsi="Calibri"/>
                  <w:color w:val="0563C1"/>
                  <w:u w:val="single"/>
                  <w:sz w:val="15"/>
                  <w:szCs w:val="15"/>
                </w:rPr>
                <w:t>C2</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Likely</w:t>
            </w:r>
          </w:p>
        </w:tc>
        <w:tc>
          <w:tcPr>
            <w:tcW w:type="dxa" w:w="6768"/>
            <w:vAlign w:val="center"/>
            <w:tcMar>
              <w:top w:w="80" w:type="dxa"/>
              <w:bottom w:w="80" w:type="dxa"/>
              <w:start w:w="120" w:type="dxa"/>
              <w:end w:w="120" w:type="dxa"/>
            </w:tcMar>
          </w:tcPr>
          <w:p>
            <w:r>
              <w:rPr>
                <w:rFonts w:ascii="Calibri" w:hAnsi="Calibri"/>
                <w:b w:val="0"/>
                <w:sz w:val="15"/>
              </w:rPr>
              <w:t>A model can search configurations and attempt an upper bound; proving maximality remains the hard step.</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P5</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Answer artifact plus Burnside/Polya route [</w:t>
            </w:r>
            <w:hyperlink r:id="rId39">
              <w:r>
                <w:rPr>
                  <w:rFonts w:ascii="Calibri" w:hAnsi="Calibri"/>
                  <w:color w:val="0563C1"/>
                  <w:u w:val="single"/>
                  <w:sz w:val="15"/>
                  <w:szCs w:val="15"/>
                </w:rPr>
                <w:t>UL1</w:t>
              </w:r>
            </w:hyperlink>
            <w:r>
              <w:rPr>
                <w:rFonts w:ascii="Calibri" w:hAnsi="Calibri"/>
                <w:b w:val="0"/>
                <w:sz w:val="15"/>
              </w:rPr>
              <w:t xml:space="preserve">, </w:t>
            </w:r>
            <w:hyperlink r:id="rId17">
              <w:r>
                <w:rPr>
                  <w:rFonts w:ascii="Calibri" w:hAnsi="Calibri"/>
                  <w:color w:val="0563C1"/>
                  <w:u w:val="single"/>
                  <w:sz w:val="15"/>
                  <w:szCs w:val="15"/>
                </w:rPr>
                <w:t>R1</w:t>
              </w:r>
            </w:hyperlink>
            <w:r>
              <w:rPr>
                <w:rFonts w:ascii="Calibri" w:hAnsi="Calibri"/>
                <w:b w:val="0"/>
                <w:sz w:val="15"/>
              </w:rPr>
              <w:t xml:space="preserve">, </w:t>
            </w:r>
            <w:hyperlink r:id="rId18">
              <w:r>
                <w:rPr>
                  <w:rFonts w:ascii="Calibri" w:hAnsi="Calibri"/>
                  <w:color w:val="0563C1"/>
                  <w:u w:val="single"/>
                  <w:sz w:val="15"/>
                  <w:szCs w:val="15"/>
                </w:rPr>
                <w:t>R2</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Very likely</w:t>
            </w:r>
          </w:p>
        </w:tc>
        <w:tc>
          <w:tcPr>
            <w:tcW w:type="dxa" w:w="6768"/>
            <w:vAlign w:val="center"/>
            <w:tcMar>
              <w:top w:w="80" w:type="dxa"/>
              <w:bottom w:w="80" w:type="dxa"/>
              <w:start w:w="120" w:type="dxa"/>
              <w:end w:w="120" w:type="dxa"/>
            </w:tcMar>
          </w:tcPr>
          <w:p>
            <w:r>
              <w:rPr>
                <w:rFonts w:ascii="Calibri" w:hAnsi="Calibri"/>
                <w:b w:val="0"/>
                <w:sz w:val="15"/>
              </w:rPr>
              <w:t>The hint reduces the task to a small rotational-orbit enumeration.</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P6</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Burnside/Polya route [</w:t>
            </w:r>
            <w:hyperlink r:id="rId39">
              <w:r>
                <w:rPr>
                  <w:rFonts w:ascii="Calibri" w:hAnsi="Calibri"/>
                  <w:color w:val="0563C1"/>
                  <w:u w:val="single"/>
                  <w:sz w:val="15"/>
                  <w:szCs w:val="15"/>
                </w:rPr>
                <w:t>UL1</w:t>
              </w:r>
            </w:hyperlink>
            <w:r>
              <w:rPr>
                <w:rFonts w:ascii="Calibri" w:hAnsi="Calibri"/>
                <w:b w:val="0"/>
                <w:sz w:val="15"/>
              </w:rPr>
              <w:t xml:space="preserve">, </w:t>
            </w:r>
            <w:hyperlink r:id="rId18">
              <w:r>
                <w:rPr>
                  <w:rFonts w:ascii="Calibri" w:hAnsi="Calibri"/>
                  <w:color w:val="0563C1"/>
                  <w:u w:val="single"/>
                  <w:sz w:val="15"/>
                  <w:szCs w:val="15"/>
                </w:rPr>
                <w:t>R2</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Likely</w:t>
            </w:r>
          </w:p>
        </w:tc>
        <w:tc>
          <w:tcPr>
            <w:tcW w:type="dxa" w:w="6768"/>
            <w:vAlign w:val="center"/>
            <w:tcMar>
              <w:top w:w="80" w:type="dxa"/>
              <w:bottom w:w="80" w:type="dxa"/>
              <w:start w:w="120" w:type="dxa"/>
              <w:end w:w="120" w:type="dxa"/>
            </w:tcMar>
          </w:tcPr>
          <w:p>
            <w:r>
              <w:rPr>
                <w:rFonts w:ascii="Calibri" w:hAnsi="Calibri"/>
                <w:b w:val="0"/>
                <w:sz w:val="15"/>
              </w:rPr>
              <w:t>Harder than P5, but tractable by enumerating vertex triples under the icosahedron rotation group.</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P9</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Candidate sixth view [</w:t>
            </w:r>
            <w:hyperlink r:id="rId12">
              <w:r>
                <w:rPr>
                  <w:rFonts w:ascii="Calibri" w:hAnsi="Calibri"/>
                  <w:color w:val="0563C1"/>
                  <w:u w:val="single"/>
                  <w:sz w:val="15"/>
                  <w:szCs w:val="15"/>
                </w:rPr>
                <w:t>U3</w:t>
              </w:r>
            </w:hyperlink>
            <w:r>
              <w:rPr>
                <w:rFonts w:ascii="Calibri" w:hAnsi="Calibri"/>
                <w:b w:val="0"/>
                <w:sz w:val="15"/>
              </w:rPr>
              <w:t xml:space="preserve">, </w:t>
            </w:r>
            <w:hyperlink r:id="rId17">
              <w:r>
                <w:rPr>
                  <w:rFonts w:ascii="Calibri" w:hAnsi="Calibri"/>
                  <w:color w:val="0563C1"/>
                  <w:u w:val="single"/>
                  <w:sz w:val="15"/>
                  <w:szCs w:val="15"/>
                </w:rPr>
                <w:t>R1</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Likely</w:t>
            </w:r>
          </w:p>
        </w:tc>
        <w:tc>
          <w:tcPr>
            <w:tcW w:type="dxa" w:w="6768"/>
            <w:vAlign w:val="center"/>
            <w:tcMar>
              <w:top w:w="80" w:type="dxa"/>
              <w:bottom w:w="80" w:type="dxa"/>
              <w:start w:w="120" w:type="dxa"/>
              <w:end w:w="120" w:type="dxa"/>
            </w:tcMar>
          </w:tcPr>
          <w:p>
            <w:r>
              <w:rPr>
                <w:rFonts w:ascii="Calibri" w:hAnsi="Calibri"/>
                <w:b w:val="0"/>
                <w:sz w:val="15"/>
              </w:rPr>
              <w:t>A voxel or projection-constraint search can test the candidate and reconstruct the object.</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P17</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Unverified candidate result [</w:t>
            </w:r>
            <w:hyperlink r:id="rId12">
              <w:r>
                <w:rPr>
                  <w:rFonts w:ascii="Calibri" w:hAnsi="Calibri"/>
                  <w:color w:val="0563C1"/>
                  <w:u w:val="single"/>
                  <w:sz w:val="15"/>
                  <w:szCs w:val="15"/>
                </w:rPr>
                <w:t>U3</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Very likely</w:t>
            </w:r>
          </w:p>
        </w:tc>
        <w:tc>
          <w:tcPr>
            <w:tcW w:type="dxa" w:w="6768"/>
            <w:vAlign w:val="center"/>
            <w:tcMar>
              <w:top w:w="80" w:type="dxa"/>
              <w:bottom w:w="80" w:type="dxa"/>
              <w:start w:w="120" w:type="dxa"/>
              <w:end w:w="120" w:type="dxa"/>
            </w:tcMar>
          </w:tcPr>
          <w:p>
            <w:r>
              <w:rPr>
                <w:rFonts w:ascii="Calibri" w:hAnsi="Calibri"/>
                <w:b w:val="0"/>
                <w:sz w:val="15"/>
              </w:rPr>
              <w:t>The probability can be recomputed independently by finite enumeration even if the post misread the rules.</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P27</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Exact construction plus dataset candidate [</w:t>
            </w:r>
            <w:hyperlink r:id="rId45">
              <w:r>
                <w:rPr>
                  <w:rFonts w:ascii="Calibri" w:hAnsi="Calibri"/>
                  <w:color w:val="0563C1"/>
                  <w:u w:val="single"/>
                  <w:sz w:val="15"/>
                  <w:szCs w:val="15"/>
                </w:rPr>
                <w:t>M4</w:t>
              </w:r>
            </w:hyperlink>
            <w:r>
              <w:rPr>
                <w:rFonts w:ascii="Calibri" w:hAnsi="Calibri"/>
                <w:b w:val="0"/>
                <w:sz w:val="15"/>
              </w:rPr>
              <w:t xml:space="preserve">, </w:t>
            </w:r>
            <w:hyperlink r:id="rId46">
              <w:r>
                <w:rPr>
                  <w:rFonts w:ascii="Calibri" w:hAnsi="Calibri"/>
                  <w:color w:val="0563C1"/>
                  <w:u w:val="single"/>
                  <w:sz w:val="15"/>
                  <w:szCs w:val="15"/>
                </w:rPr>
                <w:t>D2</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Plausible / fragile</w:t>
            </w:r>
          </w:p>
        </w:tc>
        <w:tc>
          <w:tcPr>
            <w:tcW w:type="dxa" w:w="6768"/>
            <w:vAlign w:val="center"/>
            <w:tcMar>
              <w:top w:w="80" w:type="dxa"/>
              <w:bottom w:w="80" w:type="dxa"/>
              <w:start w:w="120" w:type="dxa"/>
              <w:end w:w="120" w:type="dxa"/>
            </w:tcMar>
          </w:tcPr>
          <w:p>
            <w:r>
              <w:rPr>
                <w:rFonts w:ascii="Calibri" w:hAnsi="Calibri"/>
                <w:b w:val="0"/>
                <w:sz w:val="15"/>
              </w:rPr>
              <w:t>The construction establishes a lower bound, not the maximum; the dataset trace is not trustworthy validation.</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P28</w:t>
            </w:r>
          </w:p>
        </w:tc>
        <w:tc>
          <w:tcPr>
            <w:tcW w:type="dxa" w:w="1123"/>
            <w:vAlign w:val="center"/>
            <w:shd w:fill="FFF2CC" w:val="clear"/>
            <w:tcMar>
              <w:top w:w="80" w:type="dxa"/>
              <w:bottom w:w="80" w:type="dxa"/>
              <w:start w:w="120" w:type="dxa"/>
              <w:end w:w="120" w:type="dxa"/>
            </w:tcMar>
          </w:tcPr>
          <w:p>
            <w:pPr>
              <w:jc w:val="center"/>
            </w:pPr>
            <w:r>
              <w:rPr>
                <w:rFonts w:ascii="Calibri" w:hAnsi="Calibri"/>
                <w:b w:val="0"/>
                <w:sz w:val="15"/>
              </w:rPr>
              <w:t>Medium</w:t>
            </w:r>
          </w:p>
        </w:tc>
        <w:tc>
          <w:tcPr>
            <w:tcW w:type="dxa" w:w="3816"/>
            <w:vAlign w:val="center"/>
            <w:tcMar>
              <w:top w:w="80" w:type="dxa"/>
              <w:bottom w:w="80" w:type="dxa"/>
              <w:start w:w="120" w:type="dxa"/>
              <w:end w:w="120" w:type="dxa"/>
            </w:tcMar>
          </w:tcPr>
          <w:p>
            <w:r>
              <w:rPr>
                <w:rFonts w:ascii="Calibri" w:hAnsi="Calibri"/>
                <w:b w:val="0"/>
                <w:sz w:val="15"/>
              </w:rPr>
              <w:t>Candidate count and partial plane-pair argument [</w:t>
            </w:r>
            <w:hyperlink r:id="rId41">
              <w:r>
                <w:rPr>
                  <w:rFonts w:ascii="Calibri" w:hAnsi="Calibri"/>
                  <w:color w:val="0563C1"/>
                  <w:u w:val="single"/>
                  <w:sz w:val="15"/>
                  <w:szCs w:val="15"/>
                </w:rPr>
                <w:t>F4</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Very likely</w:t>
            </w:r>
          </w:p>
        </w:tc>
        <w:tc>
          <w:tcPr>
            <w:tcW w:type="dxa" w:w="6768"/>
            <w:vAlign w:val="center"/>
            <w:tcMar>
              <w:top w:w="80" w:type="dxa"/>
              <w:bottom w:w="80" w:type="dxa"/>
              <w:start w:w="120" w:type="dxa"/>
              <w:end w:w="120" w:type="dxa"/>
            </w:tcMar>
          </w:tcPr>
          <w:p>
            <w:r>
              <w:rPr>
                <w:rFonts w:ascii="Calibri" w:hAnsi="Calibri"/>
                <w:b w:val="0"/>
                <w:sz w:val="15"/>
              </w:rPr>
              <w:t>The remaining task is a finite combinatorial/incidence verification.</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P16</w:t>
            </w:r>
          </w:p>
        </w:tc>
        <w:tc>
          <w:tcPr>
            <w:tcW w:type="dxa" w:w="1123"/>
            <w:vAlign w:val="center"/>
            <w:shd w:fill="E2F0D9" w:val="clear"/>
            <w:tcMar>
              <w:top w:w="80" w:type="dxa"/>
              <w:bottom w:w="80" w:type="dxa"/>
              <w:start w:w="120" w:type="dxa"/>
              <w:end w:w="120" w:type="dxa"/>
            </w:tcMar>
          </w:tcPr>
          <w:p>
            <w:pPr>
              <w:jc w:val="center"/>
            </w:pPr>
            <w:r>
              <w:rPr>
                <w:rFonts w:ascii="Calibri" w:hAnsi="Calibri"/>
                <w:b w:val="0"/>
                <w:sz w:val="15"/>
              </w:rPr>
              <w:t>Low</w:t>
            </w:r>
          </w:p>
        </w:tc>
        <w:tc>
          <w:tcPr>
            <w:tcW w:type="dxa" w:w="3816"/>
            <w:vAlign w:val="center"/>
            <w:tcMar>
              <w:top w:w="80" w:type="dxa"/>
              <w:bottom w:w="80" w:type="dxa"/>
              <w:start w:w="120" w:type="dxa"/>
              <w:end w:w="120" w:type="dxa"/>
            </w:tcMar>
          </w:tcPr>
          <w:p>
            <w:r>
              <w:rPr>
                <w:rFonts w:ascii="Calibri" w:hAnsi="Calibri"/>
                <w:b w:val="0"/>
                <w:sz w:val="15"/>
              </w:rPr>
              <w:t>Prompt only [</w:t>
            </w:r>
            <w:hyperlink r:id="rId38">
              <w:r>
                <w:rPr>
                  <w:rFonts w:ascii="Calibri" w:hAnsi="Calibri"/>
                  <w:color w:val="0563C1"/>
                  <w:u w:val="single"/>
                  <w:sz w:val="15"/>
                  <w:szCs w:val="15"/>
                </w:rPr>
                <w:t>ME1</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Almost certain</w:t>
            </w:r>
          </w:p>
        </w:tc>
        <w:tc>
          <w:tcPr>
            <w:tcW w:type="dxa" w:w="6768"/>
            <w:vAlign w:val="center"/>
            <w:tcMar>
              <w:top w:w="80" w:type="dxa"/>
              <w:bottom w:w="80" w:type="dxa"/>
              <w:start w:w="120" w:type="dxa"/>
              <w:end w:w="120" w:type="dxa"/>
            </w:tcMar>
          </w:tcPr>
          <w:p>
            <w:r>
              <w:rPr>
                <w:rFonts w:ascii="Calibri" w:hAnsi="Calibri"/>
                <w:b w:val="0"/>
                <w:sz w:val="15"/>
              </w:rPr>
              <w:t>After diagram transcription, it is an exhaustive longest-path search on a 16-vertex knight-move graph.</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P33</w:t>
            </w:r>
          </w:p>
        </w:tc>
        <w:tc>
          <w:tcPr>
            <w:tcW w:type="dxa" w:w="1123"/>
            <w:vAlign w:val="center"/>
            <w:shd w:fill="E2F0D9" w:val="clear"/>
            <w:tcMar>
              <w:top w:w="80" w:type="dxa"/>
              <w:bottom w:w="80" w:type="dxa"/>
              <w:start w:w="120" w:type="dxa"/>
              <w:end w:w="120" w:type="dxa"/>
            </w:tcMar>
          </w:tcPr>
          <w:p>
            <w:pPr>
              <w:jc w:val="center"/>
            </w:pPr>
            <w:r>
              <w:rPr>
                <w:rFonts w:ascii="Calibri" w:hAnsi="Calibri"/>
                <w:b w:val="0"/>
                <w:sz w:val="15"/>
              </w:rPr>
              <w:t>Low</w:t>
            </w:r>
          </w:p>
        </w:tc>
        <w:tc>
          <w:tcPr>
            <w:tcW w:type="dxa" w:w="3816"/>
            <w:vAlign w:val="center"/>
            <w:tcMar>
              <w:top w:w="80" w:type="dxa"/>
              <w:bottom w:w="80" w:type="dxa"/>
              <w:start w:w="120" w:type="dxa"/>
              <w:end w:w="120" w:type="dxa"/>
            </w:tcMar>
          </w:tcPr>
          <w:p>
            <w:r>
              <w:rPr>
                <w:rFonts w:ascii="Calibri" w:hAnsi="Calibri"/>
                <w:b w:val="0"/>
                <w:sz w:val="15"/>
              </w:rPr>
              <w:t>P32 family hint; U52 norm 9/11 among top group [</w:t>
            </w:r>
            <w:hyperlink r:id="rId27">
              <w:r>
                <w:rPr>
                  <w:rFonts w:ascii="Calibri" w:hAnsi="Calibri"/>
                  <w:color w:val="0563C1"/>
                  <w:u w:val="single"/>
                  <w:sz w:val="15"/>
                  <w:szCs w:val="15"/>
                </w:rPr>
                <w:t>R3</w:t>
              </w:r>
            </w:hyperlink>
            <w:r>
              <w:rPr>
                <w:rFonts w:ascii="Calibri" w:hAnsi="Calibri"/>
                <w:b w:val="0"/>
                <w:sz w:val="15"/>
              </w:rPr>
              <w:t xml:space="preserve">, </w:t>
            </w:r>
            <w:hyperlink r:id="rId47">
              <w:r>
                <w:rPr>
                  <w:rFonts w:ascii="Calibri" w:hAnsi="Calibri"/>
                  <w:color w:val="0563C1"/>
                  <w:u w:val="single"/>
                  <w:sz w:val="15"/>
                  <w:szCs w:val="15"/>
                </w:rPr>
                <w:t>UN1</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Likely</w:t>
            </w:r>
          </w:p>
        </w:tc>
        <w:tc>
          <w:tcPr>
            <w:tcW w:type="dxa" w:w="6768"/>
            <w:vAlign w:val="center"/>
            <w:tcMar>
              <w:top w:w="80" w:type="dxa"/>
              <w:bottom w:w="80" w:type="dxa"/>
              <w:start w:w="120" w:type="dxa"/>
              <w:end w:w="120" w:type="dxa"/>
            </w:tcMar>
          </w:tcPr>
          <w:p>
            <w:r>
              <w:rPr>
                <w:rFonts w:ascii="Calibri" w:hAnsi="Calibri"/>
                <w:b w:val="0"/>
                <w:sz w:val="15"/>
              </w:rPr>
              <w:t>The family-level movement idea helps, but no item-specific answer was verified.</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P34</w:t>
            </w:r>
          </w:p>
        </w:tc>
        <w:tc>
          <w:tcPr>
            <w:tcW w:type="dxa" w:w="1123"/>
            <w:vAlign w:val="center"/>
            <w:shd w:fill="E2F0D9" w:val="clear"/>
            <w:tcMar>
              <w:top w:w="80" w:type="dxa"/>
              <w:bottom w:w="80" w:type="dxa"/>
              <w:start w:w="120" w:type="dxa"/>
              <w:end w:w="120" w:type="dxa"/>
            </w:tcMar>
          </w:tcPr>
          <w:p>
            <w:pPr>
              <w:jc w:val="center"/>
            </w:pPr>
            <w:r>
              <w:rPr>
                <w:rFonts w:ascii="Calibri" w:hAnsi="Calibri"/>
                <w:b w:val="0"/>
                <w:sz w:val="15"/>
              </w:rPr>
              <w:t>Low</w:t>
            </w:r>
          </w:p>
        </w:tc>
        <w:tc>
          <w:tcPr>
            <w:tcW w:type="dxa" w:w="3816"/>
            <w:vAlign w:val="center"/>
            <w:tcMar>
              <w:top w:w="80" w:type="dxa"/>
              <w:bottom w:w="80" w:type="dxa"/>
              <w:start w:w="120" w:type="dxa"/>
              <w:end w:w="120" w:type="dxa"/>
            </w:tcMar>
          </w:tcPr>
          <w:p>
            <w:r>
              <w:rPr>
                <w:rFonts w:ascii="Calibri" w:hAnsi="Calibri"/>
                <w:b w:val="0"/>
                <w:sz w:val="15"/>
              </w:rPr>
              <w:t>P32 family hint; U54 norm 7/11 among top group [</w:t>
            </w:r>
            <w:hyperlink r:id="rId27">
              <w:r>
                <w:rPr>
                  <w:rFonts w:ascii="Calibri" w:hAnsi="Calibri"/>
                  <w:color w:val="0563C1"/>
                  <w:u w:val="single"/>
                  <w:sz w:val="15"/>
                  <w:szCs w:val="15"/>
                </w:rPr>
                <w:t>R3</w:t>
              </w:r>
            </w:hyperlink>
            <w:r>
              <w:rPr>
                <w:rFonts w:ascii="Calibri" w:hAnsi="Calibri"/>
                <w:b w:val="0"/>
                <w:sz w:val="15"/>
              </w:rPr>
              <w:t xml:space="preserve">, </w:t>
            </w:r>
            <w:hyperlink r:id="rId47">
              <w:r>
                <w:rPr>
                  <w:rFonts w:ascii="Calibri" w:hAnsi="Calibri"/>
                  <w:color w:val="0563C1"/>
                  <w:u w:val="single"/>
                  <w:sz w:val="15"/>
                  <w:szCs w:val="15"/>
                </w:rPr>
                <w:t>UN1</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Probable with retries</w:t>
            </w:r>
          </w:p>
        </w:tc>
        <w:tc>
          <w:tcPr>
            <w:tcW w:type="dxa" w:w="6768"/>
            <w:vAlign w:val="center"/>
            <w:tcMar>
              <w:top w:w="80" w:type="dxa"/>
              <w:bottom w:w="80" w:type="dxa"/>
              <w:start w:w="120" w:type="dxa"/>
              <w:end w:w="120" w:type="dxa"/>
            </w:tcMar>
          </w:tcPr>
          <w:p>
            <w:r>
              <w:rPr>
                <w:rFonts w:ascii="Calibri" w:hAnsi="Calibri"/>
                <w:b w:val="0"/>
                <w:sz w:val="15"/>
              </w:rPr>
              <w:t>Multiple visual-rule attempts may be needed; benchmark evidence warns that models are brittle here.</w:t>
            </w:r>
          </w:p>
        </w:tc>
      </w:tr>
      <w:tr>
        <w:trPr>
          <w:cantSplit/>
        </w:trPr>
        <w:tc>
          <w:tcPr>
            <w:tcW w:type="dxa" w:w="691"/>
            <w:vAlign w:val="center"/>
            <w:tcMar>
              <w:top w:w="80" w:type="dxa"/>
              <w:bottom w:w="80" w:type="dxa"/>
              <w:start w:w="120" w:type="dxa"/>
              <w:end w:w="120" w:type="dxa"/>
            </w:tcMar>
          </w:tcPr>
          <w:p>
            <w:pPr>
              <w:jc w:val="center"/>
            </w:pPr>
            <w:r>
              <w:rPr>
                <w:rFonts w:ascii="Calibri" w:hAnsi="Calibri"/>
                <w:b w:val="0"/>
                <w:sz w:val="15"/>
              </w:rPr>
              <w:t>P35</w:t>
            </w:r>
          </w:p>
        </w:tc>
        <w:tc>
          <w:tcPr>
            <w:tcW w:type="dxa" w:w="1123"/>
            <w:vAlign w:val="center"/>
            <w:shd w:fill="E2F0D9" w:val="clear"/>
            <w:tcMar>
              <w:top w:w="80" w:type="dxa"/>
              <w:bottom w:w="80" w:type="dxa"/>
              <w:start w:w="120" w:type="dxa"/>
              <w:end w:w="120" w:type="dxa"/>
            </w:tcMar>
          </w:tcPr>
          <w:p>
            <w:pPr>
              <w:jc w:val="center"/>
            </w:pPr>
            <w:r>
              <w:rPr>
                <w:rFonts w:ascii="Calibri" w:hAnsi="Calibri"/>
                <w:b w:val="0"/>
                <w:sz w:val="15"/>
              </w:rPr>
              <w:t>Low</w:t>
            </w:r>
          </w:p>
        </w:tc>
        <w:tc>
          <w:tcPr>
            <w:tcW w:type="dxa" w:w="3816"/>
            <w:vAlign w:val="center"/>
            <w:tcMar>
              <w:top w:w="80" w:type="dxa"/>
              <w:bottom w:w="80" w:type="dxa"/>
              <w:start w:w="120" w:type="dxa"/>
              <w:end w:w="120" w:type="dxa"/>
            </w:tcMar>
          </w:tcPr>
          <w:p>
            <w:r>
              <w:rPr>
                <w:rFonts w:ascii="Calibri" w:hAnsi="Calibri"/>
                <w:b w:val="0"/>
                <w:sz w:val="15"/>
              </w:rPr>
              <w:t>P32 family hint; U53 norm 4/11 among top group [</w:t>
            </w:r>
            <w:hyperlink r:id="rId27">
              <w:r>
                <w:rPr>
                  <w:rFonts w:ascii="Calibri" w:hAnsi="Calibri"/>
                  <w:color w:val="0563C1"/>
                  <w:u w:val="single"/>
                  <w:sz w:val="15"/>
                  <w:szCs w:val="15"/>
                </w:rPr>
                <w:t>R3</w:t>
              </w:r>
            </w:hyperlink>
            <w:r>
              <w:rPr>
                <w:rFonts w:ascii="Calibri" w:hAnsi="Calibri"/>
                <w:b w:val="0"/>
                <w:sz w:val="15"/>
              </w:rPr>
              <w:t xml:space="preserve">, </w:t>
            </w:r>
            <w:hyperlink r:id="rId47">
              <w:r>
                <w:rPr>
                  <w:rFonts w:ascii="Calibri" w:hAnsi="Calibri"/>
                  <w:color w:val="0563C1"/>
                  <w:u w:val="single"/>
                  <w:sz w:val="15"/>
                  <w:szCs w:val="15"/>
                </w:rPr>
                <w:t>UN1</w:t>
              </w:r>
            </w:hyperlink>
            <w:r>
              <w:rPr>
                <w:rFonts w:ascii="Calibri" w:hAnsi="Calibri"/>
                <w:b w:val="0"/>
                <w:sz w:val="15"/>
              </w:rPr>
              <w:t>]</w:t>
            </w:r>
          </w:p>
        </w:tc>
        <w:tc>
          <w:tcPr>
            <w:tcW w:type="dxa" w:w="1656"/>
            <w:vAlign w:val="center"/>
            <w:tcMar>
              <w:top w:w="80" w:type="dxa"/>
              <w:bottom w:w="80" w:type="dxa"/>
              <w:start w:w="120" w:type="dxa"/>
              <w:end w:w="120" w:type="dxa"/>
            </w:tcMar>
          </w:tcPr>
          <w:p>
            <w:pPr>
              <w:jc w:val="center"/>
            </w:pPr>
            <w:r>
              <w:rPr>
                <w:rFonts w:ascii="Calibri" w:hAnsi="Calibri"/>
                <w:b w:val="0"/>
                <w:sz w:val="15"/>
              </w:rPr>
              <w:t>Least likely</w:t>
            </w:r>
          </w:p>
        </w:tc>
        <w:tc>
          <w:tcPr>
            <w:tcW w:type="dxa" w:w="6768"/>
            <w:vAlign w:val="center"/>
            <w:tcMar>
              <w:top w:w="80" w:type="dxa"/>
              <w:bottom w:w="80" w:type="dxa"/>
              <w:start w:w="120" w:type="dxa"/>
              <w:end w:w="120" w:type="dxa"/>
            </w:tcMar>
          </w:tcPr>
          <w:p>
            <w:r>
              <w:rPr>
                <w:rFonts w:ascii="Calibri" w:hAnsi="Calibri"/>
                <w:b w:val="0"/>
                <w:sz w:val="15"/>
              </w:rPr>
              <w:t>No item-specific hint was found, and it was the hardest of the three shared unsolved sequences in the top norm group.</w:t>
            </w:r>
          </w:p>
        </w:tc>
      </w:tr>
    </w:tbl>
    <w:p>
      <w:pPr/>
      <w:r>
        <w:rPr>
          <w:b/>
          <w:color w:val="1F4E79"/>
        </w:rPr>
        <w:t xml:space="preserve">Current-group interpretation. </w:t>
      </w:r>
      <w:r>
        <w:t>All seven medium items are plausibly solvable under this tool-rich scenario, but about five are expected to be reliable in a single careful run. Three of the four current low items (P16, P33 and P34) are likely or plausible; P35 remains the strongest holdout. These counts are judgment ranges, not measured pass rates.</w:t>
      </w:r>
    </w:p>
    <w:p>
      <w:pPr/>
      <w:r>
        <w:rPr>
          <w:b/>
          <w:color w:val="1F4E79"/>
        </w:rPr>
        <w:t xml:space="preserve">Benchmark caution. </w:t>
      </w:r>
      <w:r>
        <w:t>VisuLogic reported most evaluated multimodal models below 30% accuracy (25% random baseline; 51.4% human), while VGRP-Bench found that state-of-the-art vision-language models struggled with visual-grid puzzles and generalized poorly after puzzle-specific training [</w:t>
      </w:r>
      <w:hyperlink r:id="rId48">
        <w:r>
          <w:rPr>
            <w:rFonts w:ascii="Calibri" w:hAnsi="Calibri"/>
            <w:color w:val="0563C1"/>
            <w:u w:val="single"/>
            <w:sz w:val="19"/>
            <w:szCs w:val="19"/>
          </w:rPr>
          <w:t>V1</w:t>
        </w:r>
      </w:hyperlink>
      <w:r>
        <w:t xml:space="preserve">, </w:t>
      </w:r>
      <w:hyperlink r:id="rId49">
        <w:r>
          <w:rPr>
            <w:rFonts w:ascii="Calibri" w:hAnsi="Calibri"/>
            <w:color w:val="0563C1"/>
            <w:u w:val="single"/>
            <w:sz w:val="19"/>
            <w:szCs w:val="19"/>
          </w:rPr>
          <w:t>V2</w:t>
        </w:r>
      </w:hyperlink>
      <w:r>
        <w:t>]. Those benchmarks justify caution but are not direct measurements of any Power Test item and may not represent an agent allowed browsing, code and repeated verification.</w:t>
      </w:r>
    </w:p>
    <w:p>
      <w:pPr>
        <w:pStyle w:val="Heading1"/>
      </w:pPr>
      <w:r>
        <w:t>Appendix B — Source register</w:t>
      </w:r>
    </w:p>
    <w:p>
      <w:pPr>
        <w:spacing w:after="100"/>
      </w:pPr>
      <w:r>
        <w:t>The review prioritized primary/official publications and dated public discussions. Short excerpts establish the nature of the match; posted numerical results are omitted.</w:t>
      </w:r>
    </w:p>
    <w:tbl>
      <w:tblPr>
        <w:tblStyle w:val="TableGrid"/>
        <w:tblW w:type="dxa" w:w="12700"/>
        <w:jc w:val="center"/>
        <w:tblLayout w:type="fixed"/>
        <w:tblLook w:firstColumn="1" w:firstRow="1" w:lastColumn="0" w:lastRow="0" w:noHBand="0" w:noVBand="1" w:val="04A0"/>
        <w:tblInd w:w="120" w:type="dxa"/>
      </w:tblPr>
      <w:tblGrid>
        <w:gridCol w:w="600"/>
        <w:gridCol w:w="1800"/>
        <w:gridCol w:w="3500"/>
        <w:gridCol w:w="6800"/>
      </w:tblGrid>
      <w:tr>
        <w:trPr>
          <w:tblHeader w:val="true"/>
          <w:cantSplit w:val="true"/>
        </w:trPr>
        <w:tc>
          <w:tcPr>
            <w:tcW w:type="dxa" w:w="600"/>
            <w:tcMar>
              <w:top w:w="90" w:type="dxa"/>
              <w:start w:w="110" w:type="dxa"/>
              <w:bottom w:w="90" w:type="dxa"/>
              <w:end w:w="110" w:type="dxa"/>
            </w:tcMar>
            <w:vAlign w:val="center"/>
            <w:shd w:fill="F2F4F7"/>
          </w:tcPr>
          <w:p>
            <w:pPr>
              <w:spacing w:after="0"/>
            </w:pPr>
            <w:r>
              <w:rPr>
                <w:rFonts w:ascii="Calibri" w:hAnsi="Calibri"/>
                <w:b/>
                <w:i w:val="0"/>
                <w:color w:val="1F4E79"/>
                <w:sz w:val="16"/>
              </w:rPr>
              <w:t>ID</w:t>
            </w:r>
          </w:p>
        </w:tc>
        <w:tc>
          <w:tcPr>
            <w:tcW w:type="dxa" w:w="1800"/>
            <w:tcMar>
              <w:top w:w="90" w:type="dxa"/>
              <w:start w:w="110" w:type="dxa"/>
              <w:bottom w:w="90" w:type="dxa"/>
              <w:end w:w="110" w:type="dxa"/>
            </w:tcMar>
            <w:vAlign w:val="center"/>
            <w:shd w:fill="F2F4F7"/>
          </w:tcPr>
          <w:p>
            <w:pPr>
              <w:spacing w:after="0"/>
            </w:pPr>
            <w:r>
              <w:rPr>
                <w:rFonts w:ascii="Calibri" w:hAnsi="Calibri"/>
                <w:b/>
                <w:i w:val="0"/>
                <w:color w:val="1F4E79"/>
                <w:sz w:val="16"/>
              </w:rPr>
              <w:t>Date</w:t>
            </w:r>
          </w:p>
        </w:tc>
        <w:tc>
          <w:tcPr>
            <w:tcW w:type="dxa" w:w="3500"/>
            <w:tcMar>
              <w:top w:w="90" w:type="dxa"/>
              <w:start w:w="110" w:type="dxa"/>
              <w:bottom w:w="90" w:type="dxa"/>
              <w:end w:w="110" w:type="dxa"/>
            </w:tcMar>
            <w:vAlign w:val="center"/>
            <w:shd w:fill="F2F4F7"/>
          </w:tcPr>
          <w:p>
            <w:pPr>
              <w:spacing w:after="0"/>
            </w:pPr>
            <w:r>
              <w:rPr>
                <w:rFonts w:ascii="Calibri" w:hAnsi="Calibri"/>
                <w:b/>
                <w:i w:val="0"/>
                <w:color w:val="1F4E79"/>
                <w:sz w:val="16"/>
              </w:rPr>
              <w:t>Source</w:t>
            </w:r>
          </w:p>
        </w:tc>
        <w:tc>
          <w:tcPr>
            <w:tcW w:type="dxa" w:w="6800"/>
            <w:tcMar>
              <w:top w:w="90" w:type="dxa"/>
              <w:start w:w="110" w:type="dxa"/>
              <w:bottom w:w="90" w:type="dxa"/>
              <w:end w:w="110" w:type="dxa"/>
            </w:tcMar>
            <w:vAlign w:val="center"/>
            <w:shd w:fill="F2F4F7"/>
          </w:tcPr>
          <w:p>
            <w:pPr>
              <w:spacing w:after="0"/>
            </w:pPr>
            <w:r>
              <w:rPr>
                <w:rFonts w:ascii="Calibri" w:hAnsi="Calibri"/>
                <w:b/>
                <w:i w:val="0"/>
                <w:color w:val="1F4E79"/>
                <w:sz w:val="16"/>
              </w:rPr>
              <w:t>Verification note / short excerpt</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O1</w:t>
            </w:r>
          </w:p>
        </w:tc>
        <w:tc>
          <w:tcPr>
            <w:tcW w:type="dxa" w:w="1800"/>
            <w:tcMar>
              <w:top w:w="90" w:type="dxa"/>
              <w:start w:w="110" w:type="dxa"/>
              <w:bottom w:w="90" w:type="dxa"/>
              <w:end w:w="110" w:type="dxa"/>
            </w:tcMar>
            <w:vAlign w:val="top"/>
          </w:tcPr>
          <w:p>
            <w:pPr>
              <w:spacing w:before="0" w:after="0" w:line="240" w:lineRule="auto"/>
              <w:jc w:val="left"/>
            </w:pPr>
            <w:r>
              <w:rPr>
                <w:rFonts w:ascii="Calibri" w:hAnsi="Calibri"/>
                <w:b w:val="0"/>
                <w:i w:val="0"/>
                <w:sz w:val="15"/>
              </w:rPr>
              <w:t>current page; accessed 4 Aug 2026</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9">
              <w:r>
                <w:rPr>
                  <w:color w:val="2E74B5"/>
                  <w:u w:val="single"/>
                  <w:sz w:val="18"/>
                </w:rPr>
                <w:t>The Hoeflin Power Test (official current test)</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Primary baseline for numbering and wording. It states that the 36-item test is based on the Mega, Titan and Ultra tests and asks users not to share answers publicly.</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O2</w:t>
            </w:r>
          </w:p>
        </w:tc>
        <w:tc>
          <w:tcPr>
            <w:tcW w:type="dxa" w:w="1800"/>
            <w:tcMar>
              <w:top w:w="90" w:type="dxa"/>
              <w:start w:w="110" w:type="dxa"/>
              <w:bottom w:w="90" w:type="dxa"/>
              <w:end w:w="110" w:type="dxa"/>
            </w:tcMar>
            <w:vAlign w:val="top"/>
          </w:tcPr>
          <w:p>
            <w:pPr>
              <w:spacing w:after="0"/>
            </w:pPr>
            <w:r>
              <w:rPr>
                <w:rFonts w:ascii="Calibri" w:hAnsi="Calibri"/>
                <w:b w:val="0"/>
                <w:i w:val="0"/>
                <w:sz w:val="15"/>
              </w:rPr>
              <w:t>July 1996</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3">
              <w:r>
                <w:rPr>
                  <w:color w:val="2E74B5"/>
                  <w:u w:val="single"/>
                  <w:sz w:val="18"/>
                </w:rPr>
                <w:t>Noesis, no. 121 (original Power Test publication)</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Primary historical publication of the full Power Test. The cover and dated correspondence establish July 1996; isolated OCR footers in copies can be misleading.</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T1</w:t>
            </w:r>
          </w:p>
        </w:tc>
        <w:tc>
          <w:tcPr>
            <w:tcW w:type="dxa" w:w="1800"/>
            <w:tcMar>
              <w:top w:w="90" w:type="dxa"/>
              <w:start w:w="110" w:type="dxa"/>
              <w:bottom w:w="90" w:type="dxa"/>
              <w:end w:w="110" w:type="dxa"/>
            </w:tcMar>
            <w:vAlign w:val="top"/>
          </w:tcPr>
          <w:p>
            <w:pPr>
              <w:spacing w:after="0"/>
            </w:pPr>
            <w:r>
              <w:rPr>
                <w:rFonts w:ascii="Calibri" w:hAnsi="Calibri"/>
                <w:b w:val="0"/>
                <w:i w:val="0"/>
                <w:sz w:val="15"/>
              </w:rPr>
              <w:t>Titan published Apr 1990; mirror date not established</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4">
              <w:r>
                <w:rPr>
                  <w:color w:val="2E74B5"/>
                  <w:u w:val="single"/>
                  <w:sz w:val="18"/>
                </w:rPr>
                <w:t>Mega Society Titan Test mirror</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Searchable mirror explicitly cross-references Titan items to Power items 2, 4, 7, 10, 11, 13, 19, 21–25, 27, 29 and 31. Full download/sign-in restrictions apply.</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U0</w:t>
            </w:r>
          </w:p>
        </w:tc>
        <w:tc>
          <w:tcPr>
            <w:tcW w:type="dxa" w:w="1800"/>
            <w:tcMar>
              <w:top w:w="90" w:type="dxa"/>
              <w:start w:w="110" w:type="dxa"/>
              <w:bottom w:w="90" w:type="dxa"/>
              <w:end w:w="110" w:type="dxa"/>
            </w:tcMar>
            <w:vAlign w:val="top"/>
          </w:tcPr>
          <w:p>
            <w:pPr>
              <w:spacing w:after="0"/>
            </w:pPr>
            <w:r>
              <w:rPr>
                <w:rFonts w:ascii="Calibri" w:hAnsi="Calibri"/>
                <w:b w:val="0"/>
                <w:i w:val="0"/>
                <w:sz w:val="15"/>
              </w:rPr>
              <w:t>1 Apr 2005</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4">
              <w:r>
                <w:rPr>
                  <w:color w:val="2E74B5"/>
                  <w:u w:val="single"/>
                  <w:sz w:val="18"/>
                </w:rPr>
                <w:t>rec.puzzles — announced publication of Titan answers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Historical context for the later answer thread; not used alone to classify an item.</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U1</w:t>
            </w:r>
          </w:p>
        </w:tc>
        <w:tc>
          <w:tcPr>
            <w:tcW w:type="dxa" w:w="1800"/>
            <w:tcMar>
              <w:top w:w="90" w:type="dxa"/>
              <w:start w:w="110" w:type="dxa"/>
              <w:bottom w:w="90" w:type="dxa"/>
              <w:end w:w="110" w:type="dxa"/>
            </w:tcMar>
            <w:vAlign w:val="top"/>
          </w:tcPr>
          <w:p>
            <w:pPr>
              <w:spacing w:after="0"/>
            </w:pPr>
            <w:r>
              <w:rPr>
                <w:rFonts w:ascii="Calibri" w:hAnsi="Calibri"/>
                <w:b w:val="0"/>
                <w:i w:val="0"/>
                <w:sz w:val="15"/>
              </w:rPr>
              <w:t>3 Oct 2005 onward</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5">
              <w:r>
                <w:rPr>
                  <w:color w:val="2E74B5"/>
                  <w:u w:val="single"/>
                  <w:sz w:val="18"/>
                </w:rPr>
                <w:t>rec.puzzles — “Updated answers to the Titan Test”</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Public candidate-answer list with later explanations. Opening request: “Don’t forget to explain your answer, the more detail the better.” Numerical results are deliberately omitted here.</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N1</w:t>
            </w:r>
          </w:p>
        </w:tc>
        <w:tc>
          <w:tcPr>
            <w:tcW w:type="dxa" w:w="1800"/>
            <w:tcMar>
              <w:top w:w="90" w:type="dxa"/>
              <w:start w:w="110" w:type="dxa"/>
              <w:bottom w:w="90" w:type="dxa"/>
              <w:end w:w="110" w:type="dxa"/>
            </w:tcMar>
            <w:vAlign w:val="top"/>
          </w:tcPr>
          <w:p>
            <w:pPr>
              <w:spacing w:after="0"/>
            </w:pPr>
            <w:r>
              <w:rPr>
                <w:rFonts w:ascii="Calibri" w:hAnsi="Calibri"/>
                <w:b w:val="0"/>
                <w:i w:val="0"/>
                <w:sz w:val="15"/>
              </w:rPr>
              <w:t>mirror of Oct 2005 thread</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5">
              <w:r>
                <w:rPr>
                  <w:color w:val="2E74B5"/>
                  <w:u w:val="single"/>
                  <w:sz w:val="18"/>
                </w:rPr>
                <w:t>Narkive mirror — Titan answer discussion</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Backup mirror of Usenet answer material.</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U2</w:t>
            </w:r>
          </w:p>
        </w:tc>
        <w:tc>
          <w:tcPr>
            <w:tcW w:type="dxa" w:w="1800"/>
            <w:tcMar>
              <w:top w:w="90" w:type="dxa"/>
              <w:start w:w="110" w:type="dxa"/>
              <w:bottom w:w="90" w:type="dxa"/>
              <w:end w:w="110" w:type="dxa"/>
            </w:tcMar>
            <w:vAlign w:val="top"/>
          </w:tcPr>
          <w:p>
            <w:pPr>
              <w:spacing w:after="0"/>
            </w:pPr>
            <w:r>
              <w:rPr>
                <w:rFonts w:ascii="Calibri" w:hAnsi="Calibri"/>
                <w:b w:val="0"/>
                <w:i w:val="0"/>
                <w:sz w:val="15"/>
              </w:rPr>
              <w:t>3–16 Nov 2001</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1">
              <w:r>
                <w:rPr>
                  <w:color w:val="2E74B5"/>
                  <w:u w:val="single"/>
                  <w:sz w:val="18"/>
                </w:rPr>
                <w:t>rec.puzzles — “Painting a cube”</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8 prompt, explicit identification as a Power Test item, followed by case analysis and a group-action/Pólya-style derivation. Excerpt: “a problem appearing on the hoeflin power test. a definite no-no.”</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U3</w:t>
            </w:r>
          </w:p>
        </w:tc>
        <w:tc>
          <w:tcPr>
            <w:tcW w:type="dxa" w:w="1800"/>
            <w:tcMar>
              <w:top w:w="90" w:type="dxa"/>
              <w:start w:w="110" w:type="dxa"/>
              <w:bottom w:w="90" w:type="dxa"/>
              <w:end w:w="110" w:type="dxa"/>
            </w:tcMar>
            <w:vAlign w:val="top"/>
          </w:tcPr>
          <w:p>
            <w:pPr>
              <w:spacing w:after="0"/>
            </w:pPr>
            <w:r>
              <w:rPr>
                <w:rFonts w:ascii="Calibri" w:hAnsi="Calibri"/>
                <w:b w:val="0"/>
                <w:i w:val="0"/>
                <w:sz w:val="15"/>
              </w:rPr>
              <w:t>9 Jul–15 Aug 2009</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2">
              <w:r>
                <w:rPr>
                  <w:color w:val="2E74B5"/>
                  <w:u w:val="single"/>
                  <w:sz w:val="18"/>
                </w:rPr>
                <w:t>rec.puzzles — “Mega Test” discussion</w:t>
              </w:r>
            </w:hyperlink>
          </w:p>
        </w:tc>
        <w:tc>
          <w:tcPr>
            <w:tcW w:type="dxa" w:w="6800"/>
            <w:tcMar>
              <w:top w:w="90" w:type="dxa"/>
              <w:start w:w="110" w:type="dxa"/>
              <w:bottom w:w="90" w:type="dxa"/>
              <w:end w:w="110" w:type="dxa"/>
            </w:tcMar>
            <w:vAlign w:val="top"/>
          </w:tcPr>
          <w:p>
            <w:pPr>
              <w:spacing w:before="0" w:after="0" w:line="240" w:lineRule="auto"/>
              <w:jc w:val="left"/>
            </w:pPr>
            <w:r>
              <w:rPr>
                <w:rFonts w:ascii="Calibri" w:hAnsi="Calibri"/>
                <w:b w:val="0"/>
                <w:i w:val="0"/>
                <w:sz w:val="15"/>
              </w:rPr>
              <w:t>Item-specific discussion of Power items 1, 8, 9, 17 and 20. Includes constructions, a sixth-view candidate, a disputed probability candidate, and for item 20 a maximum proof using cube classes V/E/F/C. Numerical results are omitted.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U4</w:t>
            </w:r>
          </w:p>
        </w:tc>
        <w:tc>
          <w:tcPr>
            <w:tcW w:type="dxa" w:w="1800"/>
            <w:tcMar>
              <w:top w:w="90" w:type="dxa"/>
              <w:start w:w="110" w:type="dxa"/>
              <w:bottom w:w="90" w:type="dxa"/>
              <w:end w:w="110" w:type="dxa"/>
            </w:tcMar>
            <w:vAlign w:val="top"/>
          </w:tcPr>
          <w:p>
            <w:pPr>
              <w:spacing w:after="0"/>
            </w:pPr>
            <w:r>
              <w:rPr>
                <w:rFonts w:ascii="Calibri" w:hAnsi="Calibri"/>
                <w:b w:val="0"/>
                <w:i w:val="0"/>
                <w:sz w:val="15"/>
              </w:rPr>
              <w:t>15 Aug 2009</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8">
              <w:r>
                <w:rPr>
                  <w:color w:val="2E74B5"/>
                  <w:u w:val="single"/>
                  <w:sz w:val="18"/>
                </w:rPr>
                <w:t>rec.puzzles — “Difficult analogies”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Explicitly maps the image to Power item 36 and gives the decisive hint: “between each panel, each player has moved.”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R1</w:t>
            </w:r>
          </w:p>
        </w:tc>
        <w:tc>
          <w:tcPr>
            <w:tcW w:type="dxa" w:w="1800"/>
            <w:tcMar>
              <w:top w:w="90" w:type="dxa"/>
              <w:start w:w="110" w:type="dxa"/>
              <w:bottom w:w="90" w:type="dxa"/>
              <w:end w:w="110" w:type="dxa"/>
            </w:tcMar>
            <w:vAlign w:val="top"/>
          </w:tcPr>
          <w:p>
            <w:pPr>
              <w:spacing w:after="0"/>
            </w:pPr>
            <w:r>
              <w:rPr>
                <w:rFonts w:ascii="Calibri" w:hAnsi="Calibri"/>
                <w:b w:val="0"/>
                <w:i w:val="0"/>
                <w:sz w:val="15"/>
              </w:rPr>
              <w:t>24 Dec 2009</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7">
              <w:r>
                <w:rPr>
                  <w:color w:val="2E74B5"/>
                  <w:u w:val="single"/>
                  <w:sz w:val="18"/>
                </w:rPr>
                <w:t>Reddit r/math — Hoeflin Power Test discussion</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Links labelled Answer 5, 9, 14, 18, 19 and 21; comments expose the balanced-ternary route for item 14 and summation route for item 18. Imgur answer images now require JavaScript and were not substantively inspected.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F1</w:t>
            </w:r>
          </w:p>
        </w:tc>
        <w:tc>
          <w:tcPr>
            <w:tcW w:type="dxa" w:w="1800"/>
            <w:tcMar>
              <w:top w:w="90" w:type="dxa"/>
              <w:start w:w="110" w:type="dxa"/>
              <w:bottom w:w="90" w:type="dxa"/>
              <w:end w:w="110" w:type="dxa"/>
            </w:tcMar>
            <w:vAlign w:val="top"/>
          </w:tcPr>
          <w:p>
            <w:pPr>
              <w:spacing w:after="0"/>
            </w:pPr>
            <w:r>
              <w:rPr>
                <w:rFonts w:ascii="Calibri" w:hAnsi="Calibri"/>
                <w:b w:val="0"/>
                <w:i w:val="0"/>
                <w:sz w:val="15"/>
              </w:rPr>
              <w:t>29 Jan 2009 onward</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3">
              <w:r>
                <w:rPr>
                  <w:color w:val="2E74B5"/>
                  <w:u w:val="single"/>
                  <w:sz w:val="18"/>
                </w:rPr>
                <w:t>Physics Forums — octahedron colour-pattern problem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7 wording with candidate total, classification and symmetry discussion. Correctness is debated, but answer-level exposure is clear.</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B1</w:t>
            </w:r>
          </w:p>
        </w:tc>
        <w:tc>
          <w:tcPr>
            <w:tcW w:type="dxa" w:w="1800"/>
            <w:tcMar>
              <w:top w:w="90" w:type="dxa"/>
              <w:start w:w="110" w:type="dxa"/>
              <w:bottom w:w="90" w:type="dxa"/>
              <w:end w:w="110" w:type="dxa"/>
            </w:tcMar>
            <w:vAlign w:val="top"/>
          </w:tcPr>
          <w:p>
            <w:pPr>
              <w:spacing w:after="0"/>
            </w:pPr>
            <w:r>
              <w:rPr>
                <w:rFonts w:ascii="Calibri" w:hAnsi="Calibri"/>
                <w:b w:val="0"/>
                <w:i w:val="0"/>
                <w:sz w:val="15"/>
              </w:rPr>
              <w:t>13 Aug 2007</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6">
              <w:r>
                <w:rPr>
                  <w:color w:val="2E74B5"/>
                  <w:u w:val="single"/>
                  <w:sz w:val="18"/>
                </w:rPr>
                <w:t>Metamerist — “Hard puzzles like butter”</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12 prompt and explicit identification as Power Test no. 12; poster says the answer was not known.</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R2</w:t>
            </w:r>
          </w:p>
        </w:tc>
        <w:tc>
          <w:tcPr>
            <w:tcW w:type="dxa" w:w="1800"/>
            <w:tcMar>
              <w:top w:w="90" w:type="dxa"/>
              <w:start w:w="110" w:type="dxa"/>
              <w:bottom w:w="90" w:type="dxa"/>
              <w:end w:w="110" w:type="dxa"/>
            </w:tcMar>
            <w:vAlign w:val="top"/>
          </w:tcPr>
          <w:p>
            <w:pPr>
              <w:spacing w:after="0"/>
            </w:pPr>
            <w:r>
              <w:rPr>
                <w:rFonts w:ascii="Calibri" w:hAnsi="Calibri"/>
                <w:b w:val="0"/>
                <w:i w:val="0"/>
                <w:sz w:val="15"/>
              </w:rPr>
              <w:t>Dec 2018</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8">
              <w:r>
                <w:rPr>
                  <w:color w:val="2E74B5"/>
                  <w:u w:val="single"/>
                  <w:sz w:val="18"/>
                </w:rPr>
                <w:t>Reddit r/slatestarcodex — Mega Test discussion</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Quotes item 12 and identifies the Steiner maximum-regions theorem; also points to Burnside/Pólya methods for items 5–8 and 29–30 and Hamiltonian-cycle reasoning for 21–24.</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M1</w:t>
            </w:r>
          </w:p>
        </w:tc>
        <w:tc>
          <w:tcPr>
            <w:tcW w:type="dxa" w:w="1800"/>
            <w:tcMar>
              <w:top w:w="90" w:type="dxa"/>
              <w:start w:w="110" w:type="dxa"/>
              <w:bottom w:w="90" w:type="dxa"/>
              <w:end w:w="110" w:type="dxa"/>
            </w:tcMar>
            <w:vAlign w:val="top"/>
          </w:tcPr>
          <w:p>
            <w:pPr>
              <w:spacing w:after="0"/>
            </w:pPr>
            <w:r>
              <w:rPr>
                <w:rFonts w:ascii="Calibri" w:hAnsi="Calibri"/>
                <w:b w:val="0"/>
                <w:i w:val="0"/>
                <w:sz w:val="15"/>
              </w:rPr>
              <w:t>6 Oct 2020</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19">
              <w:r>
                <w:rPr>
                  <w:color w:val="2E74B5"/>
                  <w:u w:val="single"/>
                  <w:sz w:val="18"/>
                </w:rPr>
                <w:t>The Math Doctors — cutting space with n planes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Accessible exposition of the exact theorem/formula needed for the five-plane cutting problem. It is a generic theorem source, not a Power-specific answer page.</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F2</w:t>
            </w:r>
          </w:p>
        </w:tc>
        <w:tc>
          <w:tcPr>
            <w:tcW w:type="dxa" w:w="1800"/>
            <w:tcMar>
              <w:top w:w="90" w:type="dxa"/>
              <w:start w:w="110" w:type="dxa"/>
              <w:bottom w:w="90" w:type="dxa"/>
              <w:end w:w="110" w:type="dxa"/>
            </w:tcMar>
            <w:vAlign w:val="top"/>
          </w:tcPr>
          <w:p>
            <w:pPr>
              <w:spacing w:after="0"/>
            </w:pPr>
            <w:r>
              <w:rPr>
                <w:rFonts w:ascii="Calibri" w:hAnsi="Calibri"/>
                <w:b w:val="0"/>
                <w:i w:val="0"/>
                <w:sz w:val="15"/>
              </w:rPr>
              <w:t>20 Jan 2018</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0">
              <w:r>
                <w:rPr>
                  <w:color w:val="2E74B5"/>
                  <w:u w:val="single"/>
                  <w:sz w:val="18"/>
                </w:rPr>
                <w:t>FreeMathHelp — barge/lock displacement question</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distinctive wording indexed with a proposed final number (“[numerical result omitted] barrels”). Direct page fetch timed out during this review.</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C1</w:t>
            </w:r>
          </w:p>
        </w:tc>
        <w:tc>
          <w:tcPr>
            <w:tcW w:type="dxa" w:w="1800"/>
            <w:tcMar>
              <w:top w:w="90" w:type="dxa"/>
              <w:start w:w="110" w:type="dxa"/>
              <w:bottom w:w="90" w:type="dxa"/>
              <w:end w:w="110" w:type="dxa"/>
            </w:tcMar>
            <w:vAlign w:val="top"/>
          </w:tcPr>
          <w:p>
            <w:pPr>
              <w:spacing w:after="0"/>
            </w:pPr>
            <w:r>
              <w:rPr>
                <w:rFonts w:ascii="Calibri" w:hAnsi="Calibri"/>
                <w:b w:val="0"/>
                <w:i w:val="0"/>
                <w:sz w:val="15"/>
              </w:rPr>
              <w:t>18 Sep 2008</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1">
              <w:r>
                <w:rPr>
                  <w:color w:val="2E74B5"/>
                  <w:u w:val="single"/>
                  <w:sz w:val="18"/>
                </w:rPr>
                <w:t>CNBlogs repost of Power Test problems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prompt reposts for items including 15–18, 20, 22 and 31; it asks readers not to publish answers and to send them privately. Used as prompt-exposure corroboration only.</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F3</w:t>
            </w:r>
          </w:p>
        </w:tc>
        <w:tc>
          <w:tcPr>
            <w:tcW w:type="dxa" w:w="1800"/>
            <w:tcMar>
              <w:top w:w="90" w:type="dxa"/>
              <w:start w:w="110" w:type="dxa"/>
              <w:bottom w:w="90" w:type="dxa"/>
              <w:end w:w="110" w:type="dxa"/>
            </w:tcMar>
            <w:vAlign w:val="top"/>
          </w:tcPr>
          <w:p>
            <w:pPr>
              <w:spacing w:after="0"/>
            </w:pPr>
            <w:r>
              <w:rPr>
                <w:rFonts w:ascii="Calibri" w:hAnsi="Calibri"/>
                <w:b w:val="0"/>
                <w:i w:val="0"/>
                <w:sz w:val="15"/>
              </w:rPr>
              <w:t>30 Mar 2021</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2">
              <w:r>
                <w:rPr>
                  <w:color w:val="2E74B5"/>
                  <w:u w:val="single"/>
                  <w:sz w:val="18"/>
                </w:rPr>
                <w:t>FreeMathHelp — dodecahedral craps problem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17 prompt located in search indexing, but no accessible worked solution was verified; direct page fetch timed out.</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H1</w:t>
            </w:r>
          </w:p>
        </w:tc>
        <w:tc>
          <w:tcPr>
            <w:tcW w:type="dxa" w:w="1800"/>
            <w:tcMar>
              <w:top w:w="90" w:type="dxa"/>
              <w:start w:w="110" w:type="dxa"/>
              <w:bottom w:w="90" w:type="dxa"/>
              <w:end w:w="110" w:type="dxa"/>
            </w:tcMar>
            <w:vAlign w:val="top"/>
          </w:tcPr>
          <w:p>
            <w:pPr>
              <w:spacing w:after="0"/>
            </w:pPr>
            <w:r>
              <w:rPr>
                <w:rFonts w:ascii="Calibri" w:hAnsi="Calibri"/>
                <w:b w:val="0"/>
                <w:i w:val="0"/>
                <w:sz w:val="15"/>
              </w:rPr>
              <w:t>2–3 Jun 2017</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4">
              <w:r>
                <w:rPr>
                  <w:color w:val="2E74B5"/>
                  <w:u w:val="single"/>
                  <w:sz w:val="18"/>
                </w:rPr>
                <w:t>Hacker News — three-cube problem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26 prompt plus detailed region-counting attempts decomposing exterior regions, pairwise intersections and the central region. Candidate total is omitted.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G1</w:t>
            </w:r>
          </w:p>
        </w:tc>
        <w:tc>
          <w:tcPr>
            <w:tcW w:type="dxa" w:w="1800"/>
            <w:tcMar>
              <w:top w:w="90" w:type="dxa"/>
              <w:start w:w="110" w:type="dxa"/>
              <w:bottom w:w="90" w:type="dxa"/>
              <w:end w:w="110" w:type="dxa"/>
            </w:tcMar>
            <w:vAlign w:val="top"/>
          </w:tcPr>
          <w:p>
            <w:pPr>
              <w:spacing w:after="0"/>
            </w:pPr>
            <w:r>
              <w:rPr>
                <w:rFonts w:ascii="Calibri" w:hAnsi="Calibri"/>
                <w:b w:val="0"/>
                <w:i w:val="0"/>
                <w:sz w:val="15"/>
              </w:rPr>
              <w:t>7 Aug 2006</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3">
              <w:r>
                <w:rPr>
                  <w:color w:val="2E74B5"/>
                  <w:u w:val="single"/>
                  <w:sz w:val="18"/>
                </w:rPr>
                <w:t>GameDev.net — three interpenetrating cubes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26 prompt with multiple competing totals and geometric arguments. Strong exposure evidence, not an authenticated key.</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P1</w:t>
            </w:r>
          </w:p>
        </w:tc>
        <w:tc>
          <w:tcPr>
            <w:tcW w:type="dxa" w:w="1800"/>
            <w:tcMar>
              <w:top w:w="90" w:type="dxa"/>
              <w:start w:w="110" w:type="dxa"/>
              <w:bottom w:w="90" w:type="dxa"/>
              <w:end w:w="110" w:type="dxa"/>
            </w:tcMar>
            <w:vAlign w:val="top"/>
          </w:tcPr>
          <w:p>
            <w:pPr>
              <w:spacing w:after="0"/>
            </w:pPr>
            <w:r>
              <w:rPr>
                <w:rFonts w:ascii="Calibri" w:hAnsi="Calibri"/>
                <w:b w:val="0"/>
                <w:i w:val="0"/>
                <w:sz w:val="15"/>
              </w:rPr>
              <w:t>10 Dec 2019</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5">
              <w:r>
                <w:rPr>
                  <w:color w:val="2E74B5"/>
                  <w:u w:val="single"/>
                  <w:sz w:val="18"/>
                </w:rPr>
                <w:t>Puzzling Stack Exchange — three-cube problem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prompt and a pointer to the Hacker News solution discussion.</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M2</w:t>
            </w:r>
          </w:p>
        </w:tc>
        <w:tc>
          <w:tcPr>
            <w:tcW w:type="dxa" w:w="1800"/>
            <w:tcMar>
              <w:top w:w="90" w:type="dxa"/>
              <w:start w:w="110" w:type="dxa"/>
              <w:bottom w:w="90" w:type="dxa"/>
              <w:end w:w="110" w:type="dxa"/>
            </w:tcMar>
            <w:vAlign w:val="top"/>
          </w:tcPr>
          <w:p>
            <w:pPr>
              <w:spacing w:after="0"/>
            </w:pPr>
            <w:r>
              <w:rPr>
                <w:rFonts w:ascii="Calibri" w:hAnsi="Calibri"/>
                <w:b w:val="0"/>
                <w:i w:val="0"/>
                <w:sz w:val="15"/>
              </w:rPr>
              <w:t>23 Jul 2015</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6">
              <w:r>
                <w:rPr>
                  <w:color w:val="2E74B5"/>
                  <w:u w:val="single"/>
                  <w:sz w:val="18"/>
                </w:rPr>
                <w:t>Mathematics Stack Exchange — ten-marble Bayes problem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Exact item 31 problem with complete Bayesian derivations in public answers. Final percentage is omitted.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R3</w:t>
            </w:r>
          </w:p>
        </w:tc>
        <w:tc>
          <w:tcPr>
            <w:tcW w:type="dxa" w:w="1800"/>
            <w:tcMar>
              <w:top w:w="90" w:type="dxa"/>
              <w:start w:w="110" w:type="dxa"/>
              <w:bottom w:w="90" w:type="dxa"/>
              <w:end w:w="110" w:type="dxa"/>
            </w:tcMar>
            <w:vAlign w:val="top"/>
          </w:tcPr>
          <w:p>
            <w:pPr>
              <w:spacing w:after="0"/>
            </w:pPr>
            <w:r>
              <w:rPr>
                <w:rFonts w:ascii="Calibri" w:hAnsi="Calibri"/>
                <w:b w:val="0"/>
                <w:i w:val="0"/>
                <w:sz w:val="15"/>
              </w:rPr>
              <w:t>8 Dec 2024</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7">
              <w:r>
                <w:rPr>
                  <w:color w:val="2E74B5"/>
                  <w:u w:val="single"/>
                  <w:sz w:val="18"/>
                </w:rPr>
                <w:t>Reddit r/cognitiveTesting — sequence puzzles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Rotated image explicitly identified as Power item 32; comment gives the operative rule: “there’s 3 Xs each moving in a set pattern…” and describes the resulting pattern.</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W1</w:t>
            </w:r>
          </w:p>
        </w:tc>
        <w:tc>
          <w:tcPr>
            <w:tcW w:type="dxa" w:w="1800"/>
            <w:tcMar>
              <w:top w:w="90" w:type="dxa"/>
              <w:start w:w="110" w:type="dxa"/>
              <w:bottom w:w="90" w:type="dxa"/>
              <w:end w:w="110" w:type="dxa"/>
            </w:tcMar>
            <w:vAlign w:val="top"/>
          </w:tcPr>
          <w:p>
            <w:pPr>
              <w:spacing w:after="0"/>
            </w:pPr>
            <w:r>
              <w:rPr>
                <w:rFonts w:ascii="Calibri" w:hAnsi="Calibri"/>
                <w:b w:val="0"/>
                <w:i w:val="0"/>
                <w:sz w:val="15"/>
              </w:rPr>
              <w:t>27–28 Nov 1988</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22">
              <w:r>
                <w:rPr>
                  <w:color w:val="2E74B5"/>
                  <w:u w:val="single"/>
                  <w:sz w:val="18"/>
                </w:rPr>
                <w:t>The Washington Post — “Is 176 IQ Enough in White House?”</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Historic public exposure: quotes the three-interpenetrating-cubes problem and paraphrases the five-cuts cube-of-butter problem. It supplies prompts, not solutions.</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A1</w:t>
            </w:r>
          </w:p>
        </w:tc>
        <w:tc>
          <w:tcPr>
            <w:tcW w:type="dxa" w:w="1800"/>
            <w:tcMar>
              <w:top w:w="90" w:type="dxa"/>
              <w:start w:w="110" w:type="dxa"/>
              <w:bottom w:w="90" w:type="dxa"/>
              <w:end w:w="110" w:type="dxa"/>
            </w:tcMar>
            <w:vAlign w:val="top"/>
          </w:tcPr>
          <w:p>
            <w:pPr>
              <w:spacing w:after="0"/>
            </w:pPr>
            <w:r>
              <w:rPr>
                <w:rFonts w:ascii="Calibri" w:hAnsi="Calibri"/>
                <w:b w:val="0"/>
                <w:i w:val="0"/>
                <w:sz w:val="15"/>
              </w:rPr>
              <w:t>2010</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0">
              <w:r>
                <w:rPr>
                  <w:color w:val="2E74B5"/>
                  <w:u w:val="single"/>
                  <w:sz w:val="18"/>
                </w:rPr>
                <w:t>E. O’Shea — “Bachet’s Problem: as few weights to weigh them all”</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Open academic treatment of the centuries-old two-pan balance problem and ternary solution. Supports classification of item 14 as a common classic, not an exact test leak by itself.</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I1</w:t>
            </w:r>
          </w:p>
        </w:tc>
        <w:tc>
          <w:tcPr>
            <w:tcW w:type="dxa" w:w="1800"/>
            <w:tcMar>
              <w:top w:w="90" w:type="dxa"/>
              <w:start w:w="110" w:type="dxa"/>
              <w:bottom w:w="90" w:type="dxa"/>
              <w:end w:w="110" w:type="dxa"/>
            </w:tcMar>
            <w:vAlign w:val="top"/>
          </w:tcPr>
          <w:p>
            <w:pPr>
              <w:spacing w:after="0"/>
            </w:pPr>
            <w:r>
              <w:rPr>
                <w:rFonts w:ascii="Calibri" w:hAnsi="Calibri"/>
                <w:b w:val="0"/>
                <w:i w:val="0"/>
                <w:sz w:val="15"/>
              </w:rPr>
              <w:t>Dec 2018</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1">
              <w:r>
                <w:rPr>
                  <w:color w:val="2E74B5"/>
                  <w:u w:val="single"/>
                  <w:sz w:val="18"/>
                </w:rPr>
                <w:t>S. Bagai — “Balanced Number System”</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Academic exposition of balanced ternary and Bachet’s weights. Correctly relevant to item 14, not item 7 as one uploaded report stated.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D1</w:t>
            </w:r>
          </w:p>
        </w:tc>
        <w:tc>
          <w:tcPr>
            <w:tcW w:type="dxa" w:w="1800"/>
            <w:tcMar>
              <w:top w:w="90" w:type="dxa"/>
              <w:start w:w="110" w:type="dxa"/>
              <w:bottom w:w="90" w:type="dxa"/>
              <w:end w:w="110" w:type="dxa"/>
            </w:tcMar>
            <w:vAlign w:val="top"/>
          </w:tcPr>
          <w:p>
            <w:pPr>
              <w:spacing w:after="0"/>
            </w:pPr>
            <w:r>
              <w:rPr>
                <w:rFonts w:ascii="Calibri" w:hAnsi="Calibri"/>
                <w:b w:val="0"/>
                <w:i w:val="0"/>
                <w:sz w:val="15"/>
              </w:rPr>
              <w:t>29 Apr 2020</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6">
              <w:r>
                <w:rPr>
                  <w:color w:val="2E74B5"/>
                  <w:u w:val="single"/>
                  <w:sz w:val="18"/>
                </w:rPr>
                <w:t>D. Redvaldsen — psychometric discussion of Mega/Titan tests</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Open contextual paper on the tests and their publication history; no direct Power-item answer match retained.</w:t>
            </w:r>
          </w:p>
        </w:tc>
      </w:tr>
      <w:tr>
        <w:trPr>
          <w:cantSplit w:val="true"/>
        </w:trPr>
        <w:tc>
          <w:tcPr>
            <w:tcW w:type="dxa" w:w="600"/>
            <w:tcMar>
              <w:top w:w="90" w:type="dxa"/>
              <w:start w:w="110" w:type="dxa"/>
              <w:bottom w:w="90" w:type="dxa"/>
              <w:end w:w="110" w:type="dxa"/>
            </w:tcMar>
            <w:vAlign w:val="top"/>
          </w:tcPr>
          <w:p>
            <w:pPr>
              <w:spacing w:after="0"/>
            </w:pPr>
            <w:r>
              <w:rPr>
                <w:rFonts w:ascii="Calibri" w:hAnsi="Calibri"/>
                <w:b w:val="0"/>
                <w:i w:val="0"/>
                <w:sz w:val="15"/>
              </w:rPr>
              <w:t>S1</w:t>
            </w:r>
          </w:p>
        </w:tc>
        <w:tc>
          <w:tcPr>
            <w:tcW w:type="dxa" w:w="1800"/>
            <w:tcMar>
              <w:top w:w="90" w:type="dxa"/>
              <w:start w:w="110" w:type="dxa"/>
              <w:bottom w:w="90" w:type="dxa"/>
              <w:end w:w="110" w:type="dxa"/>
            </w:tcMar>
            <w:vAlign w:val="top"/>
          </w:tcPr>
          <w:p>
            <w:pPr>
              <w:spacing w:after="0"/>
            </w:pPr>
            <w:r>
              <w:rPr>
                <w:rFonts w:ascii="Calibri" w:hAnsi="Calibri"/>
                <w:b w:val="0"/>
                <w:i w:val="0"/>
                <w:sz w:val="15"/>
              </w:rPr>
              <w:t>upload date not established</w:t>
            </w:r>
          </w:p>
        </w:tc>
        <w:tc>
          <w:tcPr>
            <w:tcW w:type="dxa" w:w="3500"/>
            <w:tcMar>
              <w:top w:w="90" w:type="dxa"/>
              <w:start w:w="110" w:type="dxa"/>
              <w:bottom w:w="90" w:type="dxa"/>
              <w:end w:w="110" w:type="dxa"/>
            </w:tcMar>
            <w:vAlign w:val="top"/>
          </w:tcPr>
          <w:p>
            <w:pPr>
              <w:spacing w:after="0"/>
            </w:pPr>
            <w:r>
              <w:rPr>
                <w:rFonts w:ascii="Calibri" w:hAnsi="Calibri"/>
                <w:b w:val="0"/>
                <w:i w:val="0"/>
                <w:sz w:val="15"/>
              </w:rPr>
            </w:r>
            <w:hyperlink r:id="rId37">
              <w:r>
                <w:rPr>
                  <w:color w:val="2E74B5"/>
                  <w:u w:val="single"/>
                  <w:sz w:val="18"/>
                </w:rPr>
                <w:t>Scribd — Titan Test solution mirror</w:t>
              </w:r>
            </w:hyperlink>
          </w:p>
        </w:tc>
        <w:tc>
          <w:tcPr>
            <w:tcW w:type="dxa" w:w="6800"/>
            <w:tcMar>
              <w:top w:w="90" w:type="dxa"/>
              <w:start w:w="110" w:type="dxa"/>
              <w:bottom w:w="90" w:type="dxa"/>
              <w:end w:w="110" w:type="dxa"/>
            </w:tcMar>
            <w:vAlign w:val="top"/>
          </w:tcPr>
          <w:p>
            <w:pPr>
              <w:spacing w:after="0"/>
            </w:pPr>
            <w:r>
              <w:rPr>
                <w:rFonts w:ascii="Calibri" w:hAnsi="Calibri"/>
                <w:b w:val="0"/>
                <w:i w:val="0"/>
                <w:sz w:val="15"/>
              </w:rPr>
              <w:t>Secondary mirror encountered; sign-in/download restrictions and uncertain provenance mean it was not used as the sole evidence for any item.</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ME1</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April 1985</w:t>
            </w:r>
          </w:p>
        </w:tc>
        <w:tc>
          <w:tcPr>
            <w:tcW w:type="dxa" w:w="3500"/>
            <w:vAlign w:val="top"/>
            <w:tcMar>
              <w:top w:w="90" w:type="dxa"/>
              <w:start w:w="110" w:type="dxa"/>
              <w:bottom w:w="90" w:type="dxa"/>
              <w:end w:w="110" w:type="dxa"/>
            </w:tcMar>
          </w:tcPr>
          <w:p>
            <w:pPr>
              <w:spacing w:before="0" w:after="0" w:line="240" w:lineRule="auto"/>
            </w:pPr>
            <w:hyperlink r:id="rId38">
              <w:r>
                <w:rPr>
                  <w:rFonts w:ascii="Calibri" w:hAnsi="Calibri"/>
                  <w:color w:val="0563C1"/>
                  <w:u w:val="single"/>
                  <w:sz w:val="15"/>
                  <w:szCs w:val="15"/>
                </w:rPr>
                <w:t>Omni Mega Test scan</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Primary predecessor baseline. Direct comparison maps Mega 27, 28, 29, 31-39 and 41 to 13 current Power items; Mega 39 uses the same crystal construction with a different layer count.</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UL1</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current page; accessed 4 Aug 2026</w:t>
            </w:r>
          </w:p>
        </w:tc>
        <w:tc>
          <w:tcPr>
            <w:tcW w:type="dxa" w:w="3500"/>
            <w:vAlign w:val="top"/>
            <w:tcMar>
              <w:top w:w="90" w:type="dxa"/>
              <w:start w:w="110" w:type="dxa"/>
              <w:bottom w:w="90" w:type="dxa"/>
              <w:end w:w="110" w:type="dxa"/>
            </w:tcMar>
          </w:tcPr>
          <w:p>
            <w:pPr>
              <w:spacing w:before="0" w:after="0" w:line="240" w:lineRule="auto"/>
            </w:pPr>
            <w:hyperlink r:id="rId39">
              <w:r>
                <w:rPr>
                  <w:rFonts w:ascii="Calibri" w:hAnsi="Calibri"/>
                  <w:color w:val="0563C1"/>
                  <w:u w:val="single"/>
                  <w:sz w:val="15"/>
                  <w:szCs w:val="15"/>
                </w:rPr>
                <w:t>Official Ultra Test and sequence sheet</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Primary Ultra baseline. It explicitly cross-references Ultra 40 to Power 30, Ultra 43 to Power 5, Ultra 44 to Power 6, and four of Ultra 50-54 to Power 32-35. Image comparison resolves U50-&gt;P32, U52-&gt;P33, U53-&gt;P35 and U54-&gt;P34.</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MS1</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accessed 4 Aug 2026</w:t>
            </w:r>
          </w:p>
        </w:tc>
        <w:tc>
          <w:tcPr>
            <w:tcW w:type="dxa" w:w="3500"/>
            <w:vAlign w:val="top"/>
            <w:tcMar>
              <w:top w:w="90" w:type="dxa"/>
              <w:start w:w="110" w:type="dxa"/>
              <w:bottom w:w="90" w:type="dxa"/>
              <w:end w:w="110" w:type="dxa"/>
            </w:tcMar>
          </w:tcPr>
          <w:p>
            <w:pPr>
              <w:spacing w:before="0" w:after="0" w:line="240" w:lineRule="auto"/>
            </w:pPr>
            <w:hyperlink r:id="rId43">
              <w:r>
                <w:rPr>
                  <w:rFonts w:ascii="Calibri" w:hAnsi="Calibri"/>
                  <w:color w:val="0563C1"/>
                  <w:u w:val="single"/>
                  <w:sz w:val="15"/>
                  <w:szCs w:val="15"/>
                </w:rPr>
                <w:t>Mega Society admission page</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Official current rule: Ultra scores are accepted only if earned before 28 May 2026; Power remains accepted. This establishes the cutoff, not the date on which every underlying exposure first appeared.</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N2</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July 2026</w:t>
            </w:r>
          </w:p>
        </w:tc>
        <w:tc>
          <w:tcPr>
            <w:tcW w:type="dxa" w:w="3500"/>
            <w:vAlign w:val="top"/>
            <w:tcMar>
              <w:top w:w="90" w:type="dxa"/>
              <w:start w:w="110" w:type="dxa"/>
              <w:bottom w:w="90" w:type="dxa"/>
              <w:end w:w="110" w:type="dxa"/>
            </w:tcMar>
          </w:tcPr>
          <w:p>
            <w:pPr>
              <w:spacing w:before="0" w:after="0" w:line="240" w:lineRule="auto"/>
            </w:pPr>
            <w:hyperlink r:id="rId44">
              <w:r>
                <w:rPr>
                  <w:rFonts w:ascii="Calibri" w:hAnsi="Calibri"/>
                  <w:color w:val="0563C1"/>
                  <w:u w:val="single"/>
                  <w:sz w:val="15"/>
                  <w:szCs w:val="15"/>
                </w:rPr>
                <w:t>Noesis, no. 217</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Official contemporaneous record of the vote making Ultra scores after 27 May 2026 ineligible; it does not identify a public answer key or the precise triggering disclosure.</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C2</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2017; mirror date not established</w:t>
            </w:r>
          </w:p>
        </w:tc>
        <w:tc>
          <w:tcPr>
            <w:tcW w:type="dxa" w:w="3500"/>
            <w:vAlign w:val="top"/>
            <w:tcMar>
              <w:top w:w="90" w:type="dxa"/>
              <w:start w:w="110" w:type="dxa"/>
              <w:bottom w:w="90" w:type="dxa"/>
              <w:end w:w="110" w:type="dxa"/>
            </w:tcMar>
          </w:tcPr>
          <w:p>
            <w:pPr>
              <w:spacing w:before="0" w:after="0" w:line="240" w:lineRule="auto"/>
            </w:pPr>
            <w:hyperlink r:id="rId40">
              <w:r>
                <w:rPr>
                  <w:rFonts w:ascii="Calibri" w:hAnsi="Calibri"/>
                  <w:color w:val="0563C1"/>
                  <w:u w:val="single"/>
                  <w:sz w:val="15"/>
                  <w:szCs w:val="15"/>
                </w:rPr>
                <w:t>G. F. Calvo - OMNI IQ Test Problems</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Compilation reproduces related Omni items and states that its three-rectangle illustration has a specific bounded-area count. For Power 3 this is a substantial lower-bound construction, not a proof of maximality.</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F4</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19 Jan 2018</w:t>
            </w:r>
          </w:p>
        </w:tc>
        <w:tc>
          <w:tcPr>
            <w:tcW w:type="dxa" w:w="3500"/>
            <w:vAlign w:val="top"/>
            <w:tcMar>
              <w:top w:w="90" w:type="dxa"/>
              <w:start w:w="110" w:type="dxa"/>
              <w:bottom w:w="90" w:type="dxa"/>
              <w:end w:w="110" w:type="dxa"/>
            </w:tcMar>
          </w:tcPr>
          <w:p>
            <w:pPr>
              <w:spacing w:before="0" w:after="0" w:line="240" w:lineRule="auto"/>
            </w:pPr>
            <w:hyperlink r:id="rId41">
              <w:r>
                <w:rPr>
                  <w:rFonts w:ascii="Calibri" w:hAnsi="Calibri"/>
                  <w:color w:val="0563C1"/>
                  <w:u w:val="single"/>
                  <w:sz w:val="15"/>
                  <w:szCs w:val="15"/>
                </w:rPr>
                <w:t>FreeMathHelp - visualization problem: dots and lines</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Exact Power 28/Mega 33 problem. Searchable text gives a candidate count and begins a counting argument from the ten planes and their pairings. No official-key authentication.</w:t>
            </w:r>
          </w:p>
        </w:tc>
      </w:tr>
      <w:tr>
        <w:trPr>
          <w:cantSplit/>
        </w:trPr>
        <w:tc>
          <w:tcPr>
            <w:tcW w:type="dxa" w:w="600"/>
            <w:vAlign w:val="top"/>
            <w:tcMar>
              <w:top w:w="90" w:type="dxa"/>
              <w:start w:w="110" w:type="dxa"/>
              <w:bottom w:w="90" w:type="dxa"/>
              <w:end w:w="110" w:type="dxa"/>
            </w:tcMar>
          </w:tcPr>
          <w:p>
            <w:pPr>
              <w:spacing w:before="0" w:after="0" w:line="240" w:lineRule="auto"/>
              <w:jc w:val="center"/>
            </w:pPr>
            <w:r>
              <w:rPr>
                <w:rFonts w:ascii="Calibri" w:hAnsi="Calibri"/>
                <w:b w:val="0"/>
                <w:i w:val="0"/>
                <w:sz w:val="15"/>
              </w:rPr>
              <w:t>M3</w:t>
            </w:r>
          </w:p>
        </w:tc>
        <w:tc>
          <w:tcPr>
            <w:tcW w:type="dxa" w:w="1800"/>
            <w:vAlign w:val="top"/>
            <w:tcMar>
              <w:top w:w="90" w:type="dxa"/>
              <w:start w:w="110" w:type="dxa"/>
              <w:bottom w:w="90" w:type="dxa"/>
              <w:end w:w="110" w:type="dxa"/>
            </w:tcMar>
          </w:tcPr>
          <w:p>
            <w:pPr>
              <w:spacing w:before="0" w:after="0" w:line="240" w:lineRule="auto"/>
              <w:jc w:val="left"/>
            </w:pPr>
            <w:r>
              <w:rPr>
                <w:rFonts w:ascii="Calibri" w:hAnsi="Calibri"/>
                <w:b w:val="0"/>
                <w:i w:val="0"/>
                <w:sz w:val="15"/>
              </w:rPr>
              <w:t>30 Apr 2023</w:t>
            </w:r>
          </w:p>
        </w:tc>
        <w:tc>
          <w:tcPr>
            <w:tcW w:type="dxa" w:w="3500"/>
            <w:vAlign w:val="top"/>
            <w:tcMar>
              <w:top w:w="90" w:type="dxa"/>
              <w:start w:w="110" w:type="dxa"/>
              <w:bottom w:w="90" w:type="dxa"/>
              <w:end w:w="110" w:type="dxa"/>
            </w:tcMar>
          </w:tcPr>
          <w:p>
            <w:pPr>
              <w:spacing w:before="0" w:after="0" w:line="240" w:lineRule="auto"/>
            </w:pPr>
            <w:hyperlink r:id="rId42">
              <w:r>
                <w:rPr>
                  <w:rFonts w:ascii="Calibri" w:hAnsi="Calibri"/>
                  <w:color w:val="0563C1"/>
                  <w:u w:val="single"/>
                  <w:sz w:val="15"/>
                  <w:szCs w:val="15"/>
                </w:rPr>
                <w:t>Mathematics Stack Exchange - dodecahedron edge pairs</w:t>
              </w:r>
            </w:hyperlink>
          </w:p>
        </w:tc>
        <w:tc>
          <w:tcPr>
            <w:tcW w:type="dxa" w:w="6800"/>
            <w:vAlign w:val="top"/>
            <w:tcMar>
              <w:top w:w="90" w:type="dxa"/>
              <w:start w:w="110" w:type="dxa"/>
              <w:bottom w:w="90" w:type="dxa"/>
              <w:end w:w="110" w:type="dxa"/>
            </w:tcMar>
          </w:tcPr>
          <w:p>
            <w:pPr>
              <w:spacing w:before="0" w:after="0" w:line="240" w:lineRule="auto"/>
              <w:jc w:val="left"/>
            </w:pPr>
            <w:r>
              <w:rPr>
                <w:rFonts w:ascii="Calibri" w:hAnsi="Calibri"/>
                <w:b w:val="0"/>
                <w:i w:val="0"/>
                <w:sz w:val="15"/>
              </w:rPr>
              <w:t>Mathematically identical to Ultra 40/Power 30. Public discussion states the result and points to the Burnside/Polya coefficient calculation and an earlier full edge-colouring treatment.</w:t>
            </w:r>
          </w:p>
        </w:tc>
      </w:tr>
      <w:tr>
        <w:trPr>
          <w:cantSplit/>
        </w:trPr>
        <w:tc>
          <w:tcPr>
            <w:tcW w:type="dxa" w:w="600"/>
            <w:vAlign w:val="center"/>
          </w:tcPr>
          <w:p>
            <w:r>
              <w:rPr>
                <w:rFonts w:ascii="Calibri" w:hAnsi="Calibri"/>
                <w:b w:val="0"/>
                <w:sz w:val="15"/>
              </w:rPr>
              <w:t>M4</w:t>
            </w:r>
          </w:p>
        </w:tc>
        <w:tc>
          <w:tcPr>
            <w:tcW w:type="dxa" w:w="1800"/>
            <w:vAlign w:val="center"/>
          </w:tcPr>
          <w:p>
            <w:r>
              <w:rPr>
                <w:rFonts w:ascii="Calibri" w:hAnsi="Calibri"/>
                <w:b w:val="0"/>
                <w:sz w:val="15"/>
              </w:rPr>
              <w:t>10-12 Sep 2017</w:t>
            </w:r>
          </w:p>
        </w:tc>
        <w:tc>
          <w:tcPr>
            <w:tcW w:type="dxa" w:w="3500"/>
            <w:vAlign w:val="center"/>
          </w:tcPr>
          <w:p>
            <w:hyperlink r:id="rId45">
              <w:r>
                <w:rPr>
                  <w:rFonts w:ascii="Calibri" w:hAnsi="Calibri"/>
                  <w:color w:val="0563C1"/>
                  <w:u w:val="single"/>
                  <w:sz w:val="15"/>
                  <w:szCs w:val="15"/>
                </w:rPr>
                <w:t>Mathematics Stack Exchange - interpenetrating solids</w:t>
              </w:r>
            </w:hyperlink>
          </w:p>
        </w:tc>
        <w:tc>
          <w:tcPr>
            <w:tcW w:type="dxa" w:w="6800"/>
            <w:vAlign w:val="center"/>
          </w:tcPr>
          <w:p>
            <w:r>
              <w:rPr>
                <w:rFonts w:ascii="Calibri" w:hAnsi="Calibri"/>
                <w:b w:val="0"/>
                <w:sz w:val="15"/>
              </w:rPr>
              <w:t>Exact Power 27/Titan 35 wording. The public answer gives a concrete lower-bound construction and describes its bounded components, but does not prove the maximum; numerical values are omitted here.</w:t>
            </w:r>
          </w:p>
        </w:tc>
      </w:tr>
      <w:tr>
        <w:trPr>
          <w:cantSplit/>
        </w:trPr>
        <w:tc>
          <w:tcPr>
            <w:tcW w:type="dxa" w:w="600"/>
            <w:vAlign w:val="center"/>
          </w:tcPr>
          <w:p>
            <w:r>
              <w:rPr>
                <w:rFonts w:ascii="Calibri" w:hAnsi="Calibri"/>
                <w:b w:val="0"/>
                <w:sz w:val="15"/>
              </w:rPr>
              <w:t>D2</w:t>
            </w:r>
          </w:p>
        </w:tc>
        <w:tc>
          <w:tcPr>
            <w:tcW w:type="dxa" w:w="1800"/>
            <w:vAlign w:val="center"/>
          </w:tcPr>
          <w:p>
            <w:r>
              <w:rPr>
                <w:rFonts w:ascii="Calibri" w:hAnsi="Calibri"/>
                <w:b w:val="0"/>
                <w:sz w:val="15"/>
              </w:rPr>
              <w:t>accessed 4 Aug 2026; upload date not established</w:t>
            </w:r>
          </w:p>
        </w:tc>
        <w:tc>
          <w:tcPr>
            <w:tcW w:type="dxa" w:w="3500"/>
            <w:vAlign w:val="center"/>
          </w:tcPr>
          <w:p>
            <w:hyperlink r:id="rId46">
              <w:r>
                <w:rPr>
                  <w:rFonts w:ascii="Calibri" w:hAnsi="Calibri"/>
                  <w:color w:val="0563C1"/>
                  <w:u w:val="single"/>
                  <w:sz w:val="15"/>
                  <w:szCs w:val="15"/>
                </w:rPr>
                <w:t>Hugging Face - deepmath_trace_6 dataset</w:t>
              </w:r>
            </w:hyperlink>
          </w:p>
        </w:tc>
        <w:tc>
          <w:tcPr>
            <w:tcW w:type="dxa" w:w="6800"/>
            <w:vAlign w:val="center"/>
          </w:tcPr>
          <w:p>
            <w:r>
              <w:rPr>
                <w:rFonts w:ascii="Calibri" w:hAnsi="Calibri"/>
                <w:b w:val="0"/>
                <w:sz w:val="15"/>
              </w:rPr>
              <w:t>A public LLM-reasoning dataset reproduces Power 27 almost verbatim and displays a generated trace and candidate final answer. Provenance and correctness are not authenticated, so it is exposure evidence only.</w:t>
            </w:r>
          </w:p>
        </w:tc>
      </w:tr>
      <w:tr>
        <w:trPr>
          <w:cantSplit/>
        </w:trPr>
        <w:tc>
          <w:tcPr>
            <w:tcW w:type="dxa" w:w="600"/>
            <w:vAlign w:val="center"/>
          </w:tcPr>
          <w:p>
            <w:r>
              <w:rPr>
                <w:rFonts w:ascii="Calibri" w:hAnsi="Calibri"/>
                <w:b w:val="0"/>
                <w:sz w:val="15"/>
              </w:rPr>
              <w:t>UN1</w:t>
            </w:r>
          </w:p>
        </w:tc>
        <w:tc>
          <w:tcPr>
            <w:tcW w:type="dxa" w:w="1800"/>
            <w:vAlign w:val="center"/>
          </w:tcPr>
          <w:p>
            <w:r>
              <w:rPr>
                <w:rFonts w:ascii="Calibri" w:hAnsi="Calibri"/>
                <w:b w:val="0"/>
                <w:sz w:val="15"/>
              </w:rPr>
              <w:t>last updated 10 Jun 1997; accessed 4 Aug 2026</w:t>
            </w:r>
          </w:p>
        </w:tc>
        <w:tc>
          <w:tcPr>
            <w:tcW w:type="dxa" w:w="3500"/>
            <w:vAlign w:val="center"/>
          </w:tcPr>
          <w:p>
            <w:hyperlink r:id="rId47">
              <w:r>
                <w:rPr>
                  <w:rFonts w:ascii="Calibri" w:hAnsi="Calibri"/>
                  <w:color w:val="0563C1"/>
                  <w:u w:val="single"/>
                  <w:sz w:val="15"/>
                  <w:szCs w:val="15"/>
                </w:rPr>
                <w:t>Official Ultra Test norms</w:t>
              </w:r>
            </w:hyperlink>
          </w:p>
        </w:tc>
        <w:tc>
          <w:tcPr>
            <w:tcW w:type="dxa" w:w="6800"/>
            <w:vAlign w:val="center"/>
          </w:tcPr>
          <w:p>
            <w:r>
              <w:rPr>
                <w:rFonts w:ascii="Calibri" w:hAnsi="Calibri"/>
                <w:b w:val="0"/>
                <w:sz w:val="15"/>
              </w:rPr>
              <w:t>Primary item-level norm data for Ultra 50-54. Among the top eleven scorers, U52/P33 was solved 9 times, U54/P34 7 times and U53/P35 4 times; these rates inform difficulty, not answer exposure.</w:t>
            </w:r>
          </w:p>
        </w:tc>
      </w:tr>
      <w:tr>
        <w:trPr>
          <w:cantSplit/>
        </w:trPr>
        <w:tc>
          <w:tcPr>
            <w:tcW w:type="dxa" w:w="600"/>
            <w:vAlign w:val="center"/>
          </w:tcPr>
          <w:p>
            <w:r>
              <w:rPr>
                <w:rFonts w:ascii="Calibri" w:hAnsi="Calibri"/>
                <w:b w:val="0"/>
                <w:sz w:val="15"/>
              </w:rPr>
              <w:t>V1</w:t>
            </w:r>
          </w:p>
        </w:tc>
        <w:tc>
          <w:tcPr>
            <w:tcW w:type="dxa" w:w="1800"/>
            <w:vAlign w:val="center"/>
          </w:tcPr>
          <w:p>
            <w:r>
              <w:rPr>
                <w:rFonts w:ascii="Calibri" w:hAnsi="Calibri"/>
                <w:b w:val="0"/>
                <w:sz w:val="15"/>
              </w:rPr>
              <w:t>21 Apr 2025</w:t>
            </w:r>
          </w:p>
        </w:tc>
        <w:tc>
          <w:tcPr>
            <w:tcW w:type="dxa" w:w="3500"/>
            <w:vAlign w:val="center"/>
          </w:tcPr>
          <w:p>
            <w:hyperlink r:id="rId48">
              <w:r>
                <w:rPr>
                  <w:rFonts w:ascii="Calibri" w:hAnsi="Calibri"/>
                  <w:color w:val="0563C1"/>
                  <w:u w:val="single"/>
                  <w:sz w:val="15"/>
                  <w:szCs w:val="15"/>
                </w:rPr>
                <w:t>VisuLogic visual-reasoning benchmark</w:t>
              </w:r>
            </w:hyperlink>
          </w:p>
        </w:tc>
        <w:tc>
          <w:tcPr>
            <w:tcW w:type="dxa" w:w="6800"/>
            <w:vAlign w:val="center"/>
          </w:tcPr>
          <w:p>
            <w:r>
              <w:rPr>
                <w:rFonts w:ascii="Calibri" w:hAnsi="Calibri"/>
                <w:b w:val="0"/>
                <w:sz w:val="15"/>
              </w:rPr>
              <w:t>Primary paper reports most evaluated multimodal models below 30% accuracy, versus a 25% random baseline and 51.4% human performance. It supports caution about visual-item forecasts but does not test Power items.</w:t>
            </w:r>
          </w:p>
        </w:tc>
      </w:tr>
      <w:tr>
        <w:trPr>
          <w:cantSplit/>
        </w:trPr>
        <w:tc>
          <w:tcPr>
            <w:tcW w:type="dxa" w:w="600"/>
            <w:vAlign w:val="center"/>
          </w:tcPr>
          <w:p>
            <w:r>
              <w:rPr>
                <w:rFonts w:ascii="Calibri" w:hAnsi="Calibri"/>
                <w:b w:val="0"/>
                <w:sz w:val="15"/>
              </w:rPr>
              <w:t>V2</w:t>
            </w:r>
          </w:p>
        </w:tc>
        <w:tc>
          <w:tcPr>
            <w:tcW w:type="dxa" w:w="1800"/>
            <w:vAlign w:val="center"/>
          </w:tcPr>
          <w:p>
            <w:r>
              <w:rPr>
                <w:rFonts w:ascii="Calibri" w:hAnsi="Calibri"/>
                <w:b w:val="0"/>
                <w:sz w:val="15"/>
              </w:rPr>
              <w:t>29 Mar 2025; rev. 2 Apr 2025</w:t>
            </w:r>
          </w:p>
        </w:tc>
        <w:tc>
          <w:tcPr>
            <w:tcW w:type="dxa" w:w="3500"/>
            <w:vAlign w:val="center"/>
          </w:tcPr>
          <w:p>
            <w:hyperlink r:id="rId49">
              <w:r>
                <w:rPr>
                  <w:rFonts w:ascii="Calibri" w:hAnsi="Calibri"/>
                  <w:color w:val="0563C1"/>
                  <w:u w:val="single"/>
                  <w:sz w:val="15"/>
                  <w:szCs w:val="15"/>
                </w:rPr>
                <w:t>VGRP-Bench visual-grid puzzle benchmark</w:t>
              </w:r>
            </w:hyperlink>
          </w:p>
        </w:tc>
        <w:tc>
          <w:tcPr>
            <w:tcW w:type="dxa" w:w="6800"/>
            <w:vAlign w:val="center"/>
          </w:tcPr>
          <w:p>
            <w:r>
              <w:rPr>
                <w:rFonts w:ascii="Calibri" w:hAnsi="Calibri"/>
                <w:b w:val="0"/>
                <w:sz w:val="15"/>
              </w:rPr>
              <w:t>Primary paper finds that state-of-the-art vision-language models struggle with visual-grid puzzles and that puzzle-specific fine-tuning generalizes poorly. It is analogous evidence, not an item-level Power evaluation.</w:t>
            </w:r>
          </w:p>
        </w:tc>
      </w:tr>
    </w:tbl>
    <w:p>
      <w:pPr>
        <w:sectPr>
          <w:pgSz w:w="15840" w:h="12240" w:orient="landscape"/>
          <w:pgMar w:top="835" w:right="893" w:bottom="792" w:left="893" w:header="317" w:footer="360" w:gutter="0"/>
          <w:cols w:space="720"/>
          <w:docGrid w:linePitch="360"/>
        </w:sectPr>
      </w:pPr>
    </w:p>
    <w:p>
      <w:pPr>
        <w:pStyle w:val="Heading1"/>
      </w:pPr>
      <w:r>
        <w:t>Appendix C — Search log, limitations and quality control</w:t>
      </w:r>
    </w:p>
    <w:p>
      <w:pPr>
        <w:pStyle w:val="Heading2"/>
      </w:pPr>
      <w:r>
        <w:t>Search sequence</w:t>
      </w:r>
    </w:p>
    <w:tbl>
      <w:tblPr>
        <w:tblStyle w:val="TableGrid"/>
        <w:tblW w:type="dxa" w:w="9360"/>
        <w:jc w:val="center"/>
        <w:tblLayout w:type="fixed"/>
        <w:tblLook w:firstColumn="1" w:firstRow="1" w:lastColumn="0" w:lastRow="0" w:noHBand="0" w:noVBand="1" w:val="04A0"/>
        <w:tblInd w:w="120" w:type="dxa"/>
      </w:tblPr>
      <w:tblGrid>
        <w:gridCol w:w="1900"/>
        <w:gridCol w:w="7460"/>
      </w:tblGrid>
      <w:tr>
        <w:trPr>
          <w:tblHeader w:val="true"/>
          <w:cantSplit w:val="true"/>
        </w:trPr>
        <w:tc>
          <w:tcPr>
            <w:tcW w:type="dxa" w:w="1900"/>
            <w:tcMar>
              <w:top w:w="90" w:type="dxa"/>
              <w:start w:w="110" w:type="dxa"/>
              <w:bottom w:w="90" w:type="dxa"/>
              <w:end w:w="110" w:type="dxa"/>
            </w:tcMar>
            <w:vAlign w:val="center"/>
            <w:shd w:fill="F2F4F7"/>
          </w:tcPr>
          <w:p>
            <w:pPr>
              <w:spacing w:after="0"/>
            </w:pPr>
            <w:r>
              <w:rPr>
                <w:rFonts w:ascii="Calibri" w:hAnsi="Calibri"/>
                <w:b/>
                <w:i w:val="0"/>
                <w:color w:val="1F4E79"/>
                <w:sz w:val="16"/>
              </w:rPr>
              <w:t>Step</w:t>
            </w:r>
          </w:p>
        </w:tc>
        <w:tc>
          <w:tcPr>
            <w:tcW w:type="dxa" w:w="7460"/>
            <w:tcMar>
              <w:top w:w="90" w:type="dxa"/>
              <w:start w:w="110" w:type="dxa"/>
              <w:bottom w:w="90" w:type="dxa"/>
              <w:end w:w="110" w:type="dxa"/>
            </w:tcMar>
            <w:vAlign w:val="center"/>
            <w:shd w:fill="F2F4F7"/>
          </w:tcPr>
          <w:p>
            <w:pPr>
              <w:spacing w:after="0"/>
            </w:pPr>
            <w:r>
              <w:rPr>
                <w:rFonts w:ascii="Calibri" w:hAnsi="Calibri"/>
                <w:b/>
                <w:i w:val="0"/>
                <w:color w:val="1F4E79"/>
                <w:sz w:val="16"/>
              </w:rPr>
              <w:t>Action</w:t>
            </w:r>
          </w:p>
        </w:tc>
      </w:tr>
      <w:tr>
        <w:trPr>
          <w:cantSplit w:val="true"/>
        </w:trPr>
        <w:tc>
          <w:tcPr>
            <w:tcW w:type="dxa" w:w="1900"/>
            <w:tcMar>
              <w:top w:w="90" w:type="dxa"/>
              <w:start w:w="110" w:type="dxa"/>
              <w:bottom w:w="90" w:type="dxa"/>
              <w:end w:w="110" w:type="dxa"/>
            </w:tcMar>
            <w:vAlign w:val="top"/>
          </w:tcPr>
          <w:p>
            <w:pPr>
              <w:spacing w:after="0"/>
            </w:pPr>
            <w:r>
              <w:rPr>
                <w:rFonts w:ascii="Calibri" w:hAnsi="Calibri"/>
                <w:b w:val="0"/>
                <w:i w:val="0"/>
                <w:sz w:val="15"/>
              </w:rPr>
              <w:t>1. Baseline</w:t>
            </w:r>
          </w:p>
        </w:tc>
        <w:tc>
          <w:tcPr>
            <w:tcW w:type="dxa" w:w="7460"/>
            <w:tcMar>
              <w:top w:w="90" w:type="dxa"/>
              <w:start w:w="110" w:type="dxa"/>
              <w:bottom w:w="90" w:type="dxa"/>
              <w:end w:w="110" w:type="dxa"/>
            </w:tcMar>
            <w:vAlign w:val="top"/>
          </w:tcPr>
          <w:p>
            <w:pPr>
              <w:spacing w:after="0"/>
            </w:pPr>
            <w:r>
              <w:rPr>
                <w:rFonts w:ascii="Calibri" w:hAnsi="Calibri"/>
                <w:b w:val="0"/>
                <w:i w:val="0"/>
                <w:sz w:val="15"/>
              </w:rPr>
              <w:t>Captured the official current wording/numbering and the July 1996 Noesis publication.</w:t>
            </w:r>
          </w:p>
        </w:tc>
      </w:tr>
      <w:tr>
        <w:trPr>
          <w:cantSplit w:val="true"/>
        </w:trPr>
        <w:tc>
          <w:tcPr>
            <w:tcW w:type="dxa" w:w="1900"/>
            <w:tcMar>
              <w:top w:w="90" w:type="dxa"/>
              <w:start w:w="110" w:type="dxa"/>
              <w:bottom w:w="90" w:type="dxa"/>
              <w:end w:w="110" w:type="dxa"/>
            </w:tcMar>
            <w:vAlign w:val="top"/>
          </w:tcPr>
          <w:p>
            <w:pPr>
              <w:spacing w:after="0"/>
            </w:pPr>
            <w:r>
              <w:rPr>
                <w:rFonts w:ascii="Calibri" w:hAnsi="Calibri"/>
                <w:b w:val="0"/>
                <w:i w:val="0"/>
                <w:sz w:val="15"/>
              </w:rPr>
              <w:t>2. Reconcile</w:t>
            </w:r>
          </w:p>
        </w:tc>
        <w:tc>
          <w:tcPr>
            <w:tcW w:type="dxa" w:w="7460"/>
            <w:tcMar>
              <w:top w:w="90" w:type="dxa"/>
              <w:start w:w="110" w:type="dxa"/>
              <w:bottom w:w="90" w:type="dxa"/>
              <w:end w:w="110" w:type="dxa"/>
            </w:tcMar>
            <w:vAlign w:val="top"/>
          </w:tcPr>
          <w:p>
            <w:pPr>
              <w:spacing w:after="0"/>
            </w:pPr>
            <w:r>
              <w:rPr>
                <w:rFonts w:ascii="Calibri" w:hAnsi="Calibri"/>
                <w:b w:val="0"/>
                <w:i w:val="0"/>
                <w:sz w:val="15"/>
              </w:rPr>
              <w:t>Compared all uploaded matrices/reports; extracted leads and flagged inconsistencies.</w:t>
            </w:r>
          </w:p>
        </w:tc>
      </w:tr>
      <w:tr>
        <w:trPr>
          <w:cantSplit w:val="true"/>
        </w:trPr>
        <w:tc>
          <w:tcPr>
            <w:tcW w:type="dxa" w:w="1900"/>
            <w:tcMar>
              <w:top w:w="90" w:type="dxa"/>
              <w:start w:w="110" w:type="dxa"/>
              <w:bottom w:w="90" w:type="dxa"/>
              <w:end w:w="110" w:type="dxa"/>
            </w:tcMar>
            <w:vAlign w:val="top"/>
          </w:tcPr>
          <w:p>
            <w:pPr>
              <w:spacing w:after="0"/>
            </w:pPr>
            <w:r>
              <w:rPr>
                <w:rFonts w:ascii="Calibri" w:hAnsi="Calibri"/>
                <w:b w:val="0"/>
                <w:i w:val="0"/>
                <w:sz w:val="15"/>
              </w:rPr>
              <w:t>3. Exact search</w:t>
            </w:r>
          </w:p>
        </w:tc>
        <w:tc>
          <w:tcPr>
            <w:tcW w:type="dxa" w:w="7460"/>
            <w:tcMar>
              <w:top w:w="90" w:type="dxa"/>
              <w:start w:w="110" w:type="dxa"/>
              <w:bottom w:w="90" w:type="dxa"/>
              <w:end w:w="110" w:type="dxa"/>
            </w:tcMar>
            <w:vAlign w:val="top"/>
          </w:tcPr>
          <w:p>
            <w:pPr>
              <w:spacing w:after="0"/>
            </w:pPr>
            <w:r>
              <w:rPr>
                <w:rFonts w:ascii="Calibri" w:hAnsi="Calibri"/>
                <w:b w:val="0"/>
                <w:i w:val="0"/>
                <w:sz w:val="15"/>
              </w:rPr>
              <w:t>Searched distinctive phrases, item numbers and forum/site combinations.</w:t>
            </w:r>
          </w:p>
        </w:tc>
      </w:tr>
      <w:tr>
        <w:trPr>
          <w:cantSplit w:val="true"/>
        </w:trPr>
        <w:tc>
          <w:tcPr>
            <w:tcW w:type="dxa" w:w="1900"/>
            <w:tcMar>
              <w:top w:w="90" w:type="dxa"/>
              <w:start w:w="110" w:type="dxa"/>
              <w:bottom w:w="90" w:type="dxa"/>
              <w:end w:w="110" w:type="dxa"/>
            </w:tcMar>
            <w:vAlign w:val="top"/>
          </w:tcPr>
          <w:p>
            <w:pPr>
              <w:spacing w:after="0"/>
            </w:pPr>
            <w:r>
              <w:rPr>
                <w:rFonts w:ascii="Calibri" w:hAnsi="Calibri"/>
                <w:b w:val="0"/>
                <w:i w:val="0"/>
                <w:sz w:val="15"/>
              </w:rPr>
              <w:t>4. Method search</w:t>
            </w:r>
          </w:p>
        </w:tc>
        <w:tc>
          <w:tcPr>
            <w:tcW w:type="dxa" w:w="7460"/>
            <w:tcMar>
              <w:top w:w="90" w:type="dxa"/>
              <w:start w:w="110" w:type="dxa"/>
              <w:bottom w:w="90" w:type="dxa"/>
              <w:end w:w="110" w:type="dxa"/>
            </w:tcMar>
            <w:vAlign w:val="top"/>
          </w:tcPr>
          <w:p>
            <w:pPr>
              <w:spacing w:after="0"/>
            </w:pPr>
            <w:r>
              <w:rPr>
                <w:rFonts w:ascii="Calibri" w:hAnsi="Calibri"/>
                <w:b w:val="0"/>
                <w:i w:val="0"/>
                <w:sz w:val="15"/>
              </w:rPr>
              <w:t>Searched relevant theorem names and mathematical structures to detect paraphrases/common tropes.</w:t>
            </w:r>
          </w:p>
        </w:tc>
      </w:tr>
      <w:tr>
        <w:trPr>
          <w:cantSplit w:val="true"/>
        </w:trPr>
        <w:tc>
          <w:tcPr>
            <w:tcW w:type="dxa" w:w="1900"/>
            <w:tcMar>
              <w:top w:w="90" w:type="dxa"/>
              <w:start w:w="110" w:type="dxa"/>
              <w:bottom w:w="90" w:type="dxa"/>
              <w:end w:w="110" w:type="dxa"/>
            </w:tcMar>
            <w:vAlign w:val="top"/>
          </w:tcPr>
          <w:p>
            <w:pPr>
              <w:spacing w:after="0"/>
            </w:pPr>
            <w:r>
              <w:rPr>
                <w:rFonts w:ascii="Calibri" w:hAnsi="Calibri"/>
                <w:b w:val="0"/>
                <w:i w:val="0"/>
                <w:sz w:val="15"/>
              </w:rPr>
              <w:t>5. Verify</w:t>
            </w:r>
          </w:p>
        </w:tc>
        <w:tc>
          <w:tcPr>
            <w:tcW w:type="dxa" w:w="7460"/>
            <w:tcMar>
              <w:top w:w="90" w:type="dxa"/>
              <w:start w:w="110" w:type="dxa"/>
              <w:bottom w:w="90" w:type="dxa"/>
              <w:end w:w="110" w:type="dxa"/>
            </w:tcMar>
            <w:vAlign w:val="top"/>
          </w:tcPr>
          <w:p>
            <w:pPr>
              <w:spacing w:before="0" w:after="0" w:line="240" w:lineRule="auto"/>
              <w:jc w:val="left"/>
            </w:pPr>
            <w:r>
              <w:rPr>
                <w:rFonts w:ascii="Calibri" w:hAnsi="Calibri"/>
                <w:b w:val="0"/>
                <w:i w:val="0"/>
                <w:sz w:val="15"/>
              </w:rPr>
              <w:t>Reopened retained sources, checked dates, cross-mapped all Mega, Titan and Ultra predecessors, compared the two visual sequence sheets, and graded specificity/depth.</w:t>
            </w:r>
          </w:p>
        </w:tc>
      </w:tr>
      <w:tr>
        <w:trPr>
          <w:cantSplit/>
        </w:trPr>
        <w:tc>
          <w:tcPr>
            <w:tcW w:type="dxa" w:w="1900"/>
            <w:vAlign w:val="top"/>
            <w:tcMar>
              <w:top w:w="90" w:type="dxa"/>
              <w:start w:w="110" w:type="dxa"/>
              <w:bottom w:w="90" w:type="dxa"/>
              <w:end w:w="110" w:type="dxa"/>
            </w:tcMar>
          </w:tcPr>
          <w:p>
            <w:pPr>
              <w:spacing w:before="0" w:after="0" w:line="240" w:lineRule="auto"/>
              <w:jc w:val="left"/>
            </w:pPr>
            <w:r>
              <w:rPr>
                <w:rFonts w:ascii="Calibri" w:hAnsi="Calibri"/>
                <w:b w:val="0"/>
                <w:i w:val="0"/>
                <w:sz w:val="15"/>
              </w:rPr>
              <w:t>6. Recalculate</w:t>
            </w:r>
          </w:p>
        </w:tc>
        <w:tc>
          <w:tcPr>
            <w:tcW w:type="dxa" w:w="7460"/>
            <w:vAlign w:val="top"/>
            <w:tcMar>
              <w:top w:w="90" w:type="dxa"/>
              <w:start w:w="110" w:type="dxa"/>
              <w:bottom w:w="90" w:type="dxa"/>
              <w:end w:w="110" w:type="dxa"/>
            </w:tcMar>
          </w:tcPr>
          <w:p>
            <w:pPr>
              <w:spacing w:before="0" w:after="0" w:line="240" w:lineRule="auto"/>
              <w:jc w:val="left"/>
            </w:pPr>
            <w:r>
              <w:rPr>
                <w:rFonts w:ascii="Calibri" w:hAnsi="Calibri"/>
                <w:b w:val="0"/>
                <w:i w:val="0"/>
                <w:sz w:val="15"/>
              </w:rPr>
              <w:t>Recomputed the 36-item confidence totals after integrating predecessor evidence and corrected the Titan mapping count from 14 to 15.</w:t>
            </w:r>
          </w:p>
        </w:tc>
      </w:tr>
      <w:tr>
        <w:trPr>
          <w:cantSplit/>
        </w:trPr>
        <w:tc>
          <w:tcPr>
            <w:tcW w:type="dxa" w:w="1900"/>
            <w:vAlign w:val="center"/>
          </w:tcPr>
          <w:p>
            <w:r>
              <w:rPr>
                <w:rFonts w:ascii="Calibri" w:hAnsi="Calibri"/>
                <w:b w:val="0"/>
                <w:sz w:val="16"/>
              </w:rPr>
              <w:t>7. LLM scenario</w:t>
            </w:r>
          </w:p>
        </w:tc>
        <w:tc>
          <w:tcPr>
            <w:tcW w:type="dxa" w:w="7460"/>
            <w:vAlign w:val="center"/>
          </w:tcPr>
          <w:p>
            <w:r>
              <w:rPr>
                <w:rFonts w:ascii="Calibri" w:hAnsi="Calibri"/>
                <w:b w:val="0"/>
                <w:sz w:val="16"/>
              </w:rPr>
              <w:t>Assessed each lower-confidence item under a stated multimodal/web/code scenario; checked the exact Power 27 configuration, public LLM datasets, analogous visual-reasoning benchmarks and Ultra item norms; kept forecasts separate from exposure grades.</w:t>
            </w:r>
          </w:p>
        </w:tc>
      </w:tr>
    </w:tbl>
    <w:p>
      <w:pPr>
        <w:pStyle w:val="Heading2"/>
      </w:pPr>
      <w:r>
        <w:t>Representative queries used</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cantSplit w:val="true"/>
        </w:trPr>
        <w:tc>
          <w:tcPr>
            <w:tcW w:type="dxa" w:w="4680"/>
            <w:tcMar>
              <w:top w:w="90" w:type="dxa"/>
              <w:start w:w="110" w:type="dxa"/>
              <w:bottom w:w="90" w:type="dxa"/>
              <w:end w:w="110" w:type="dxa"/>
            </w:tcMar>
            <w:vAlign w:val="center"/>
            <w:shd w:fill="F2F4F7"/>
          </w:tcPr>
          <w:p>
            <w:pPr>
              <w:spacing w:after="0"/>
            </w:pPr>
            <w:r>
              <w:rPr>
                <w:rFonts w:ascii="Calibri" w:hAnsi="Calibri"/>
                <w:b/>
                <w:i w:val="0"/>
                <w:color w:val="1F4E79"/>
                <w:sz w:val="16"/>
              </w:rPr>
              <w:t>Query</w:t>
            </w:r>
          </w:p>
        </w:tc>
        <w:tc>
          <w:tcPr>
            <w:tcW w:type="dxa" w:w="4680"/>
            <w:tcMar>
              <w:top w:w="90" w:type="dxa"/>
              <w:start w:w="110" w:type="dxa"/>
              <w:bottom w:w="90" w:type="dxa"/>
              <w:end w:w="110" w:type="dxa"/>
            </w:tcMar>
            <w:vAlign w:val="center"/>
            <w:shd w:fill="F2F4F7"/>
          </w:tcPr>
          <w:p>
            <w:pPr>
              <w:spacing w:after="0"/>
            </w:pPr>
            <w:r>
              <w:rPr>
                <w:rFonts w:ascii="Calibri" w:hAnsi="Calibri"/>
                <w:b/>
                <w:i w:val="0"/>
                <w:color w:val="1F4E79"/>
                <w:sz w:val="16"/>
              </w:rPr>
              <w:t>Query</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"Hoeflin Power Test" answers solutions</w:t>
            </w:r>
          </w:p>
        </w:tc>
        <w:tc>
          <w:tcPr>
            <w:tcW w:type="dxa" w:w="4680"/>
            <w:tcMar>
              <w:top w:w="90" w:type="dxa"/>
              <w:start w:w="110" w:type="dxa"/>
              <w:bottom w:w="90" w:type="dxa"/>
              <w:end w:w="110" w:type="dxa"/>
            </w:tcMar>
            <w:vAlign w:val="top"/>
          </w:tcPr>
          <w:p>
            <w:pPr>
              <w:spacing w:after="0"/>
            </w:pPr>
            <w:r>
              <w:rPr>
                <w:rFonts w:ascii="Calibri" w:hAnsi="Calibri"/>
                <w:b w:val="0"/>
                <w:i w:val="0"/>
                <w:sz w:val="15"/>
              </w:rPr>
              <w:t>site:groups.google.com/g/rec.puzzles "Hoeflin Power Test"</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site:reddit.com/r/math "Hoeflin Power Test"</w:t>
            </w:r>
          </w:p>
        </w:tc>
        <w:tc>
          <w:tcPr>
            <w:tcW w:type="dxa" w:w="4680"/>
            <w:tcMar>
              <w:top w:w="90" w:type="dxa"/>
              <w:start w:w="110" w:type="dxa"/>
              <w:bottom w:w="90" w:type="dxa"/>
              <w:end w:w="110" w:type="dxa"/>
            </w:tcMar>
            <w:vAlign w:val="top"/>
          </w:tcPr>
          <w:p>
            <w:pPr>
              <w:spacing w:after="0"/>
            </w:pPr>
            <w:r>
              <w:rPr>
                <w:rFonts w:ascii="Calibri" w:hAnsi="Calibri"/>
                <w:b w:val="0"/>
                <w:i w:val="0"/>
                <w:sz w:val="15"/>
              </w:rPr>
              <w:t>site:artofproblemsolving.com Hoeflin "Power Test"</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site:puzzling.stackexchange.com "three cube problem" Mega</w:t>
            </w:r>
          </w:p>
        </w:tc>
        <w:tc>
          <w:tcPr>
            <w:tcW w:type="dxa" w:w="4680"/>
            <w:tcMar>
              <w:top w:w="90" w:type="dxa"/>
              <w:start w:w="110" w:type="dxa"/>
              <w:bottom w:w="90" w:type="dxa"/>
              <w:end w:w="110" w:type="dxa"/>
            </w:tcMar>
            <w:vAlign w:val="top"/>
          </w:tcPr>
          <w:p>
            <w:pPr>
              <w:spacing w:after="0"/>
            </w:pPr>
            <w:r>
              <w:rPr>
                <w:rFonts w:ascii="Calibri" w:hAnsi="Calibri"/>
                <w:b w:val="0"/>
                <w:i w:val="0"/>
                <w:sz w:val="15"/>
              </w:rPr>
              <w:t>site:math.stackexchange.com "ten marbles" white coin</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site:archive.org "Hoeflin Power Test" answers</w:t>
            </w:r>
          </w:p>
        </w:tc>
        <w:tc>
          <w:tcPr>
            <w:tcW w:type="dxa" w:w="4680"/>
            <w:tcMar>
              <w:top w:w="90" w:type="dxa"/>
              <w:start w:w="110" w:type="dxa"/>
              <w:bottom w:w="90" w:type="dxa"/>
              <w:end w:w="110" w:type="dxa"/>
            </w:tcMar>
            <w:vAlign w:val="top"/>
          </w:tcPr>
          <w:p>
            <w:pPr>
              <w:spacing w:after="0"/>
            </w:pPr>
            <w:r>
              <w:rPr>
                <w:rFonts w:ascii="Calibri" w:hAnsi="Calibri"/>
                <w:b w:val="0"/>
                <w:i w:val="0"/>
                <w:sz w:val="15"/>
              </w:rPr>
              <w:t>"How many distinguishable cubes" "three colors"</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"cube of butter" "five perfectly straight"</w:t>
            </w:r>
          </w:p>
        </w:tc>
        <w:tc>
          <w:tcPr>
            <w:tcW w:type="dxa" w:w="4680"/>
            <w:tcMar>
              <w:top w:w="90" w:type="dxa"/>
              <w:start w:w="110" w:type="dxa"/>
              <w:bottom w:w="90" w:type="dxa"/>
              <w:end w:w="110" w:type="dxa"/>
            </w:tcMar>
            <w:vAlign w:val="top"/>
          </w:tcPr>
          <w:p>
            <w:pPr>
              <w:spacing w:after="0"/>
            </w:pPr>
            <w:r>
              <w:rPr>
                <w:rFonts w:ascii="Calibri" w:hAnsi="Calibri"/>
                <w:b w:val="0"/>
                <w:i w:val="0"/>
                <w:sz w:val="15"/>
              </w:rPr>
              <w:t>"3,000 barrels of toxic chemicals" solution</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"three interpenetrating cubes" solution</w:t>
            </w:r>
          </w:p>
        </w:tc>
        <w:tc>
          <w:tcPr>
            <w:tcW w:type="dxa" w:w="4680"/>
            <w:tcMar>
              <w:top w:w="90" w:type="dxa"/>
              <w:start w:w="110" w:type="dxa"/>
              <w:bottom w:w="90" w:type="dxa"/>
              <w:end w:w="110" w:type="dxa"/>
            </w:tcMar>
            <w:vAlign w:val="top"/>
          </w:tcPr>
          <w:p>
            <w:pPr>
              <w:spacing w:after="0"/>
            </w:pPr>
            <w:r>
              <w:rPr>
                <w:rFonts w:ascii="Calibri" w:hAnsi="Calibri"/>
                <w:b w:val="0"/>
                <w:i w:val="0"/>
                <w:sz w:val="15"/>
              </w:rPr>
              <w:t>"ten marbles" "unbiased coin" "all white"</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"between each panel, each player has moved"</w:t>
            </w:r>
          </w:p>
        </w:tc>
        <w:tc>
          <w:tcPr>
            <w:tcW w:type="dxa" w:w="4680"/>
            <w:tcMar>
              <w:top w:w="90" w:type="dxa"/>
              <w:start w:w="110" w:type="dxa"/>
              <w:bottom w:w="90" w:type="dxa"/>
              <w:end w:w="110" w:type="dxa"/>
            </w:tcMar>
            <w:vAlign w:val="top"/>
          </w:tcPr>
          <w:p>
            <w:pPr>
              <w:spacing w:after="0"/>
            </w:pPr>
            <w:r>
              <w:rPr>
                <w:rFonts w:ascii="Calibri" w:hAnsi="Calibri"/>
                <w:b w:val="0"/>
                <w:i w:val="0"/>
                <w:sz w:val="15"/>
              </w:rPr>
              <w:t>"question 32" Hoeflin "sequence puzzles"</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octahedron white black faces distinct patterns</w:t>
            </w:r>
          </w:p>
        </w:tc>
        <w:tc>
          <w:tcPr>
            <w:tcW w:type="dxa" w:w="4680"/>
            <w:tcMar>
              <w:top w:w="90" w:type="dxa"/>
              <w:start w:w="110" w:type="dxa"/>
              <w:bottom w:w="90" w:type="dxa"/>
              <w:end w:w="110" w:type="dxa"/>
            </w:tcMar>
            <w:vAlign w:val="top"/>
          </w:tcPr>
          <w:p>
            <w:pPr>
              <w:spacing w:after="0"/>
            </w:pPr>
            <w:r>
              <w:rPr>
                <w:rFonts w:ascii="Calibri" w:hAnsi="Calibri"/>
                <w:b w:val="0"/>
                <w:i w:val="0"/>
                <w:sz w:val="15"/>
              </w:rPr>
              <w:t>"modified version" craps dodecahedra</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balanced ternary weights balance scale 1 to 100</w:t>
            </w:r>
          </w:p>
        </w:tc>
        <w:tc>
          <w:tcPr>
            <w:tcW w:type="dxa" w:w="4680"/>
            <w:tcMar>
              <w:top w:w="90" w:type="dxa"/>
              <w:start w:w="110" w:type="dxa"/>
              <w:bottom w:w="90" w:type="dxa"/>
              <w:end w:w="110" w:type="dxa"/>
            </w:tcMar>
            <w:vAlign w:val="top"/>
          </w:tcPr>
          <w:p>
            <w:pPr>
              <w:spacing w:after="0"/>
            </w:pPr>
            <w:r>
              <w:rPr>
                <w:rFonts w:ascii="Calibri" w:hAnsi="Calibri"/>
                <w:b w:val="0"/>
                <w:i w:val="0"/>
                <w:sz w:val="15"/>
              </w:rPr>
              <w:t>Burnside lemma cube faces three colors</w:t>
            </w:r>
          </w:p>
        </w:tc>
      </w:tr>
      <w:tr>
        <w:trPr>
          <w:cantSplit w:val="true"/>
        </w:trPr>
        <w:tc>
          <w:tcPr>
            <w:tcW w:type="dxa" w:w="4680"/>
            <w:tcMar>
              <w:top w:w="90" w:type="dxa"/>
              <w:start w:w="110" w:type="dxa"/>
              <w:bottom w:w="90" w:type="dxa"/>
              <w:end w:w="110" w:type="dxa"/>
            </w:tcMar>
            <w:vAlign w:val="top"/>
          </w:tcPr>
          <w:p>
            <w:pPr>
              <w:spacing w:after="0"/>
            </w:pPr>
            <w:r>
              <w:rPr>
                <w:rFonts w:ascii="Calibri" w:hAnsi="Calibri"/>
                <w:b w:val="0"/>
                <w:i w:val="0"/>
                <w:sz w:val="15"/>
              </w:rPr>
              <w:t>Hamiltonian cycle ants cube no encounter</w:t>
            </w:r>
          </w:p>
        </w:tc>
        <w:tc>
          <w:tcPr>
            <w:tcW w:type="dxa" w:w="4680"/>
            <w:tcMar>
              <w:top w:w="90" w:type="dxa"/>
              <w:start w:w="110" w:type="dxa"/>
              <w:bottom w:w="90" w:type="dxa"/>
              <w:end w:w="110" w:type="dxa"/>
            </w:tcMar>
            <w:vAlign w:val="top"/>
          </w:tcPr>
          <w:p>
            <w:pPr>
              <w:spacing w:after="0"/>
            </w:pPr>
            <w:r>
              <w:rPr>
                <w:rFonts w:ascii="Calibri" w:hAnsi="Calibri"/>
                <w:b w:val="0"/>
                <w:i w:val="0"/>
                <w:sz w:val="15"/>
              </w:rPr>
              <w:t>site:gamedev.net "three interpenetrating cubes"</w:t>
            </w:r>
          </w:p>
        </w:tc>
      </w:tr>
      <w:tr>
        <w:trPr>
          <w:cantSplit/>
        </w:trPr>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"Hoeflin Mega Test" April 1985 Omni PDF</w:t>
            </w:r>
          </w:p>
        </w:tc>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site:megasociety.org/admission/ultra "Power Test"</w:t>
            </w:r>
          </w:p>
        </w:tc>
      </w:tr>
      <w:tr>
        <w:trPr>
          <w:cantSplit/>
        </w:trPr>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site:freemathhelp.com/forum "Visualization Problem: Dots and Lines"</w:t>
            </w:r>
          </w:p>
        </w:tc>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site:math.stackexchange.com dodecahedron pair edges rotational symmetry</w:t>
            </w:r>
          </w:p>
        </w:tc>
      </w:tr>
      <w:tr>
        <w:trPr>
          <w:cantSplit/>
        </w:trPr>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"Ultra 50" "Power 32" sequence</w:t>
            </w:r>
          </w:p>
        </w:tc>
        <w:tc>
          <w:tcPr>
            <w:tcW w:type="dxa" w:w="4680"/>
            <w:tcMar>
              <w:top w:w="90" w:type="dxa"/>
              <w:start w:w="110" w:type="dxa"/>
              <w:bottom w:w="90" w:type="dxa"/>
              <w:end w:w="110" w:type="dxa"/>
            </w:tcMar>
            <w:vAlign w:val="top"/>
          </w:tcPr>
          <w:p>
            <w:pPr>
              <w:spacing w:before="0" w:after="0" w:line="240" w:lineRule="auto"/>
              <w:jc w:val="left"/>
            </w:pPr>
            <w:r>
              <w:rPr>
                <w:rFonts w:ascii="Calibri" w:hAnsi="Calibri"/>
                <w:b w:val="0"/>
                <w:i w:val="0"/>
                <w:sz w:val="15"/>
              </w:rPr>
              <w:t>"three intersecting rectangles" maximum bounded areas Mega Test</w:t>
            </w:r>
          </w:p>
        </w:tc>
      </w:tr>
      <w:tr>
        <w:trPr>
          <w:cantSplit/>
        </w:trPr>
        <w:tc>
          <w:tcPr>
            <w:tcW w:type="dxa" w:w="4680"/>
            <w:vAlign w:val="center"/>
          </w:tcPr>
          <w:p>
            <w:r>
              <w:rPr>
                <w:rFonts w:ascii="Calibri" w:hAnsi="Calibri"/>
                <w:b w:val="0"/>
                <w:sz w:val="16"/>
              </w:rPr>
              <w:t>"two right circular cones" "mutually interpenetrate"</w:t>
            </w:r>
          </w:p>
        </w:tc>
        <w:tc>
          <w:tcPr>
            <w:tcW w:type="dxa" w:w="4680"/>
            <w:vAlign w:val="center"/>
          </w:tcPr>
          <w:p>
            <w:r>
              <w:rPr>
                <w:rFonts w:ascii="Calibri" w:hAnsi="Calibri"/>
                <w:b w:val="0"/>
                <w:sz w:val="16"/>
              </w:rPr>
              <w:t>site:huggingface.co/datasets "two right circular cones"</w:t>
            </w:r>
          </w:p>
        </w:tc>
      </w:tr>
      <w:tr>
        <w:trPr>
          <w:cantSplit/>
        </w:trPr>
        <w:tc>
          <w:tcPr>
            <w:tcW w:type="dxa" w:w="4680"/>
            <w:vAlign w:val="center"/>
          </w:tcPr>
          <w:p>
            <w:r>
              <w:rPr>
                <w:rFonts w:ascii="Calibri" w:hAnsi="Calibri"/>
                <w:b w:val="0"/>
                <w:sz w:val="16"/>
              </w:rPr>
              <w:t>site:megasociety.org/admission/ultra/norm "problem 52"</w:t>
            </w:r>
          </w:p>
        </w:tc>
        <w:tc>
          <w:tcPr>
            <w:tcW w:type="dxa" w:w="4680"/>
            <w:vAlign w:val="center"/>
          </w:tcPr>
          <w:p>
            <w:r>
              <w:rPr>
                <w:rFonts w:ascii="Calibri" w:hAnsi="Calibri"/>
                <w:b w:val="0"/>
                <w:sz w:val="16"/>
              </w:rPr>
              <w:t>site:arxiv.org multimodal visual-grid reasoning benchmark</w:t>
            </w:r>
          </w:p>
        </w:tc>
      </w:tr>
    </w:tbl>
    <w:p>
      <w:pPr>
        <w:pStyle w:val="Heading2"/>
      </w:pPr>
      <w:r>
        <w:t>Sources and repositories searched</w:t>
      </w:r>
    </w:p>
    <w:p>
      <w:pPr>
        <w:spacing w:after="100"/>
      </w:pPr>
      <w:r>
        <w:rPr>
          <w:rFonts w:ascii="Calibri" w:hAnsi="Calibri"/>
          <w:b w:val="0"/>
          <w:i w:val="0"/>
          <w:sz w:val="19"/>
        </w:rPr>
        <w:t>Official Mega Society admission, Power and Ultra pages; Noesis 121 and 217; April 1985 Omni Mega scan; searchable Titan copies; Google Groups/rec.puzzles; Reddit (r/math, r/slatestarcodex, r/cognitiveTesting); Physics Forums; Mathematics and Puzzling StackExchange; Hacker News; GameDev.net; CNBlogs; Metamerist; FreeMathHelp; Narkive; Scribd; arXiv/ar5iv; Indian Academy of Sciences; MDPI; The Washington Post; Art of Problem Solving; Archive.org; general web, exact-phrase and image indexes.</w:t>
      </w:r>
      <w:r>
        <w:rPr>
          <w:rFonts w:ascii="Calibri" w:hAnsi="Calibri"/>
          <w:b w:val="0"/>
          <w:i w:val="0"/>
          <w:sz w:val="19"/>
        </w:rPr>
        <w:t xml:space="preserve"> Added for the LLM assessment: the official Ultra norms, a public Hugging Face reasoning dataset, and the VisuLogic and VGRP-Bench primary papers/project pages.</w:t>
      </w:r>
    </w:p>
    <w:p>
      <w:pPr>
        <w:pStyle w:val="Heading2"/>
      </w:pPr>
      <w:r>
        <w:t>Paywalled, inaccessible or incomplete sources</w:t>
      </w:r>
    </w:p>
    <w:p>
      <w:pPr>
        <w:pStyle w:val="ListBullet"/>
        <w:spacing w:after="50"/>
        <w:ind w:left="288" w:hanging="202"/>
      </w:pPr>
      <w:r>
        <w:rPr>
          <w:rFonts w:ascii="Calibri" w:hAnsi="Calibri"/>
          <w:b w:val="0"/>
          <w:i w:val="0"/>
          <w:sz w:val="17"/>
        </w:rPr>
        <w:t>Imgur links labelled Answer5, Answer9, Answer14, Answer18, Answer19 and Answer21 were visible in the 2009 r/math thread, but the hosted images required JavaScript and were not substantively inspected. They support link-level exposure only.</w:t>
      </w:r>
    </w:p>
    <w:p>
      <w:pPr>
        <w:pStyle w:val="ListBullet"/>
        <w:spacing w:after="50"/>
        <w:ind w:left="288" w:hanging="202"/>
      </w:pPr>
      <w:r>
        <w:rPr>
          <w:rFonts w:ascii="Calibri" w:hAnsi="Calibri"/>
          <w:b w:val="0"/>
          <w:i w:val="0"/>
          <w:sz w:val="17"/>
        </w:rPr>
        <w:t>FreeMathHelp pages for items 15 and 17 repeatedly timed out. Search indexing exposed the exact wording and, for item 15, a proposed result; the result is not reproduced here.</w:t>
      </w:r>
    </w:p>
    <w:p>
      <w:pPr>
        <w:pStyle w:val="ListBullet"/>
        <w:spacing w:after="50"/>
        <w:ind w:left="288" w:hanging="202"/>
      </w:pPr>
      <w:r>
        <w:rPr>
          <w:rFonts w:ascii="Calibri" w:hAnsi="Calibri"/>
          <w:b w:val="0"/>
          <w:i w:val="0"/>
          <w:sz w:val="19"/>
        </w:rPr>
        <w:t>Scribd allowed searchable page text but restricted full download behind sign-in. This affects the Titan and Calvo mirrors; their visible text was used only where independently consistent with the primary test wording or another retrievable source.</w:t>
      </w:r>
    </w:p>
    <w:p>
      <w:pPr>
        <w:pStyle w:val="ListBullet"/>
        <w:spacing w:after="50"/>
        <w:ind w:left="288" w:hanging="202"/>
      </w:pPr>
      <w:r>
        <w:rPr>
          <w:rFonts w:ascii="Calibri" w:hAnsi="Calibri"/>
          <w:b w:val="0"/>
          <w:i w:val="0"/>
          <w:sz w:val="17"/>
        </w:rPr>
        <w:t>A TwoPlusTwo archive URL reported in an uploaded file for item 31 could not be independently reopened or verified and was not relied upon; the 2005 Usenet and 2015 Math StackExchange derivations suffice.</w:t>
      </w:r>
    </w:p>
    <w:p>
      <w:pPr>
        <w:pStyle w:val="ListBullet"/>
        <w:spacing w:after="50"/>
        <w:ind w:left="288" w:hanging="202"/>
      </w:pPr>
      <w:r>
        <w:rPr>
          <w:rFonts w:ascii="Calibri" w:hAnsi="Calibri"/>
          <w:b w:val="0"/>
          <w:i w:val="0"/>
          <w:sz w:val="17"/>
        </w:rPr>
        <w:t>Some Google Groups messages are collapsed/deleted and private-email offers in old threads are inherently unavailable. The report uses only surviving public text.</w:t>
      </w:r>
    </w:p>
    <w:p>
      <w:pPr>
        <w:pStyle w:val="ListBullet"/>
        <w:spacing w:after="50"/>
        <w:ind w:left="288" w:hanging="202"/>
      </w:pPr>
      <w:r>
        <w:rPr>
          <w:rFonts w:ascii="Calibri" w:hAnsi="Calibri"/>
          <w:b w:val="0"/>
          <w:i w:val="0"/>
          <w:sz w:val="17"/>
        </w:rPr>
        <w:t>The IAS article page intermittently failed to open, though title/abstract indexing and the open arXiv treatment independently support the item-14 historical-method point.</w:t>
      </w:r>
    </w:p>
    <w:p>
      <w:pPr>
        <w:pStyle w:val="ListBullet"/>
        <w:spacing w:after="50"/>
        <w:ind w:left="288" w:hanging="202"/>
      </w:pPr>
      <w:r>
        <w:rPr>
          <w:rFonts w:ascii="Calibri" w:hAnsi="Calibri"/>
          <w:b w:val="0"/>
          <w:i w:val="0"/>
          <w:sz w:val="17"/>
        </w:rPr>
        <w:t>No direct substantive Hoeflin/Power answer match was found in the Art of Problem Solving or Archive.org searches performed. This is a negative search result, not proof of absence.</w:t>
      </w:r>
    </w:p>
    <w:p>
      <w:pPr>
        <w:pStyle w:val="ListBullet"/>
        <w:spacing w:after="50"/>
        <w:ind w:left="288" w:hanging="202"/>
      </w:pPr>
      <w:r>
        <w:rPr>
          <w:rFonts w:ascii="Calibri" w:hAnsi="Calibri"/>
          <w:b w:val="0"/>
          <w:i w:val="0"/>
          <w:sz w:val="19"/>
        </w:rPr>
        <w:t>Visual items are harder to exact-search. The official Ultra and Power GIF sheets were compared directly to resolve U50-&gt;P32, U52-&gt;P33, U53-&gt;P35 and U54-&gt;P34; image hashing/OCR across closed or unindexed collections remained outside scope.</w:t>
      </w:r>
    </w:p>
    <w:p>
      <w:pPr>
        <w:pStyle w:val="ListBullet"/>
      </w:pPr>
      <w:r>
        <w:t>The public LLM dataset reproduces item 27 and displays a generated candidate, but it provides no trustworthy proof of correctness or established upload date; it is not treated as an official answer key.</w:t>
      </w:r>
    </w:p>
    <w:p>
      <w:pPr>
        <w:pStyle w:val="ListBullet"/>
      </w:pPr>
      <w:r>
        <w:t>The LLM-solvability figures are prospective estimates under stated tools, not results from a controlled item-by-item experiment. Model capability, image transcription, prompting, retries and tool access can materially change outcomes.</w:t>
      </w:r>
    </w:p>
    <w:p>
      <w:pPr>
        <w:pStyle w:val="Heading2"/>
      </w:pPr>
      <w:r>
        <w:t>Corrections made after checking the uploaded files</w:t>
      </w:r>
    </w:p>
    <w:p>
      <w:pPr>
        <w:pStyle w:val="ListBullet"/>
        <w:spacing w:after="50"/>
        <w:ind w:left="288" w:hanging="202"/>
      </w:pPr>
      <w:r>
        <w:rPr>
          <w:rFonts w:ascii="Calibri" w:hAnsi="Calibri"/>
          <w:b w:val="0"/>
          <w:i w:val="0"/>
          <w:sz w:val="17"/>
        </w:rPr>
        <w:t>The r/math Power Test thread is dated 24 December 2009, not approximately 2006.</w:t>
      </w:r>
    </w:p>
    <w:p>
      <w:pPr>
        <w:pStyle w:val="ListBullet"/>
        <w:spacing w:after="50"/>
        <w:ind w:left="288" w:hanging="202"/>
      </w:pPr>
      <w:r>
        <w:rPr>
          <w:rFonts w:ascii="Calibri" w:hAnsi="Calibri"/>
          <w:b w:val="0"/>
          <w:i w:val="0"/>
          <w:sz w:val="17"/>
        </w:rPr>
        <w:t>The r/cognitiveTesting item-32 thread is dated 8 December 2024, not approximately 2021.</w:t>
      </w:r>
    </w:p>
    <w:p>
      <w:pPr>
        <w:pStyle w:val="ListBullet"/>
        <w:spacing w:after="50"/>
        <w:ind w:left="288" w:hanging="202"/>
      </w:pPr>
      <w:r>
        <w:rPr>
          <w:rFonts w:ascii="Calibri" w:hAnsi="Calibri"/>
          <w:b w:val="0"/>
          <w:i w:val="0"/>
          <w:sz w:val="17"/>
        </w:rPr>
        <w:t>The S. Bagai “Balanced Number System” paper is relevant to item 14 (balanced weights), not item 7 (octahedron colouring).</w:t>
      </w:r>
    </w:p>
    <w:p>
      <w:pPr>
        <w:pStyle w:val="ListBullet"/>
        <w:spacing w:after="50"/>
        <w:ind w:left="288" w:hanging="202"/>
      </w:pPr>
      <w:r>
        <w:rPr>
          <w:rFonts w:ascii="Calibri" w:hAnsi="Calibri"/>
          <w:b w:val="0"/>
          <w:i w:val="0"/>
          <w:sz w:val="17"/>
        </w:rPr>
        <w:t>Several uploaded matrices understated exact solution exposure for items 1, 4, 8, 20, 25 and 29; the surviving forum text and Titan cross-references support the stronger classifications used here.</w:t>
      </w:r>
    </w:p>
    <w:p>
      <w:pPr>
        <w:pStyle w:val="ListBullet"/>
        <w:spacing w:after="50"/>
        <w:ind w:left="288" w:hanging="202"/>
      </w:pPr>
      <w:r>
        <w:rPr>
          <w:rFonts w:ascii="Calibri" w:hAnsi="Calibri"/>
          <w:b w:val="0"/>
          <w:i w:val="0"/>
          <w:sz w:val="17"/>
        </w:rPr>
        <w:t>The TwoPlusTwo item-31 citation was left out of the evidentiary basis because it could not be independently verified.</w:t>
      </w:r>
    </w:p>
    <w:p>
      <w:pPr>
        <w:pStyle w:val="ListBullet"/>
      </w:pPr>
      <w:r>
        <w:rPr>
          <w:rFonts w:ascii="Calibri" w:hAnsi="Calibri"/>
          <w:b w:val="0"/>
          <w:i w:val="0"/>
          <w:sz w:val="19"/>
        </w:rPr>
        <w:t>The Titan predecessor total is 15, not 14: the prior draft's own list contained 15 mappings. With 13 Mega and seven Ultra carryovers, 35 distinct Power items are now traced to predecessors.</w:t>
      </w:r>
    </w:p>
    <w:p>
      <w:pPr>
        <w:pStyle w:val="ListBullet"/>
      </w:pPr>
      <w:r>
        <w:rPr>
          <w:rFonts w:ascii="Calibri" w:hAnsi="Calibri"/>
          <w:b w:val="0"/>
          <w:i w:val="0"/>
          <w:sz w:val="19"/>
        </w:rPr>
        <w:t>Power 3, 17 and 28 were upgraded from low to medium after verifying, respectively, a lower-bound configuration, a candidate probability, and a candidate counting argument tied to their exact Mega predecessors.</w:t>
      </w:r>
    </w:p>
    <w:p>
      <w:pPr>
        <w:pStyle w:val="ListBullet"/>
      </w:pPr>
      <w:r>
        <w:rPr>
          <w:rFonts w:ascii="Calibri" w:hAnsi="Calibri"/>
          <w:b w:val="0"/>
          <w:i w:val="0"/>
          <w:sz w:val="19"/>
        </w:rPr>
        <w:t>Power 30 was upgraded from medium to high after matching Ultra 40 and finding a mathematically identical public dodecahedron-edge solution. Ultra 45/Power 9 and Ultra 51/Power 36 were rejected as false visual similarities.</w:t>
      </w:r>
    </w:p>
    <w:p>
      <w:pPr>
        <w:pStyle w:val="ListBullet"/>
      </w:pPr>
      <w:r>
        <w:t>Power 27 was upgraded from low to medium after an exact September 2017 post supplied a concrete construction; the later public LLM-dataset candidate corroborates answer-level exposure but not correctness.</w:t>
      </w:r>
    </w:p>
    <w:p>
      <w:pPr>
        <w:pStyle w:val="Heading2"/>
      </w:pPr>
      <w:r>
        <w:t>Interpretive limitations</w:t>
      </w:r>
    </w:p>
    <w:p>
      <w:r>
        <w:rPr>
          <w:rFonts w:ascii="Calibri" w:hAnsi="Calibri"/>
          <w:b w:val="0"/>
          <w:i w:val="0"/>
          <w:sz w:val="19"/>
        </w:rPr>
        <w:t>Public availability establishes an opportunity for exposure, not actual access, intent or misconduct. Search-result dates may reflect page publication, post timestamps or mirror availability and should be compared carefully with the test-taker's attempt date and any earlier Mega, Titan or Ultra attempt. Forum answers can be wrong; this audit grades the existence and specificity of assistance, not official correctness. "No substantive match found" is bounded by indexed, publicly reachable material reviewed through 4 August 2026.</w:t>
      </w:r>
      <w:r>
        <w:rPr>
          <w:rFonts w:ascii="Calibri" w:hAnsi="Calibri"/>
          <w:b w:val="0"/>
          <w:i w:val="0"/>
          <w:sz w:val="19"/>
        </w:rPr>
        <w:t xml:space="preserve"> The supplemental LLM forecasts are dated to the stated August 2026 tool scenario and should be reassessed as models and tool access change.</w:t>
      </w:r>
    </w:p>
    <w:p>
      <w:r>
        <w:br w:type="page"/>
      </w:r>
    </w:p>
    <w:p>
      <w:pPr>
        <w:pStyle w:val="Heading1"/>
      </w:pPr>
      <w:r>
        <w:t>Appendix D — Research prompt (verbatim)</w:t>
      </w:r>
    </w:p>
    <w:p>
      <w:pPr>
        <w:spacing w:line="269" w:lineRule="auto" w:after="120"/>
      </w:pPr>
      <w:r>
        <w:rPr>
          <w:rFonts w:ascii="Calibri" w:hAnsi="Calibri"/>
          <w:b w:val="0"/>
          <w:i w:val="0"/>
          <w:sz w:val="19"/>
        </w:rPr>
        <w:t>Conduct in-depth research to locate (test questions from the Power Test) online solutions, partial answers, or hints for the Hoeflin Power Test (PDF at https://megasociety.org/admission/power/) so I can report potential prior exposure by a test-taker. I am asking you to: 1) search for verbatim problem statements, worked solutions, answer keys, or substantial hints in public sources (web pages, forums, puzzle sites, books, academic papers, archived pages). 2) Identify which specific test items (by problem number and first line or short quote) have matches or near-matches online and provide URLs, dates, and short excerpts showing the match. 3) Assess the strength of evidence for prior exposure for each matched item (exact match, paraphrase, partial overlap, common puzzle trope) and estimate confidence (high/medium/low) with brief justification. 4) List sources searched, search queries used, and any paywalled or inaccessible sources encountered. 5) Produce a concise report (1–2 pages) summarizing findings suitable for attachment to an email to The Mega Society. Include a table mapping problem numbers to found sources and confidence. Prioritize primary/official sources, puzzle forums (e.g., Art of Problem Solving, StackExchange, Puzzling), archived pages, and books. If images or worked solutions online would clarify matches, include links or screenshots. Assume no specific time constraint and no geographic restriction. Provide an executive summary at the start of the report. Write the report in English and include the full prompt used for this research as an appendix. Also draft an email to The Mega Society (English) explaining the attached report and how it was generated, without disclosing internal tool names or versions; explain methodology, searches performed, and that the prompt is attached. Do not include any private data. Format: analytical report plus email; include a table and, where helpful, a mermaid timeline of search steps. (Use and verify the data in the uploaded files. Try to work for at least 30 minutes.)</w:t>
      </w:r>
    </w:p>
    <w:p>
      <w:r>
        <w:br w:type="page"/>
      </w:r>
    </w:p>
    <w:p>
      <w:pPr>
        <w:pStyle w:val="Heading1"/>
      </w:pPr>
      <w:r>
        <w:t>Appendix E — Draft email to The Mega Society</w:t>
      </w:r>
    </w:p>
    <w:p>
      <w:pPr>
        <w:spacing w:after="140"/>
      </w:pPr>
      <w:r>
        <w:rPr>
          <w:rFonts w:ascii="Calibri" w:hAnsi="Calibri"/>
          <w:b/>
          <w:i w:val="0"/>
          <w:color w:val="1F4E79"/>
          <w:sz w:val="20"/>
        </w:rPr>
        <w:t>Subject: Public-exposure review of the Hoeflin Power Test</w:t>
      </w:r>
    </w:p>
    <w:p>
      <w:pPr>
        <w:spacing w:after="140"/>
      </w:pPr>
      <w:r>
        <w:rPr>
          <w:rFonts w:ascii="Calibri" w:hAnsi="Calibri"/>
          <w:b w:val="0"/>
          <w:i w:val="0"/>
          <w:sz w:val="20"/>
        </w:rPr>
        <w:t>Dear Mega Society Admissions/Administration,</w:t>
      </w:r>
    </w:p>
    <w:p>
      <w:pPr>
        <w:spacing w:after="140"/>
      </w:pPr>
      <w:r>
        <w:rPr>
          <w:rFonts w:ascii="Calibri" w:hAnsi="Calibri"/>
          <w:b w:val="0"/>
          <w:i w:val="0"/>
          <w:sz w:val="20"/>
        </w:rPr>
        <w:t>I am sending the attached public-source exposure audit of Ronald Hoeflin’s Power Test. Its purpose is to flag material that could give a test-taker prior exposure; it is not an allegation that any particular person accessed or used these sources, and it does not authenticate the correctness of unofficial answers.</w:t>
      </w:r>
    </w:p>
    <w:p>
      <w:pPr>
        <w:spacing w:after="140"/>
      </w:pPr>
      <w:r>
        <w:rPr>
          <w:rFonts w:ascii="Calibri" w:hAnsi="Calibri"/>
          <w:b w:val="0"/>
          <w:i w:val="0"/>
          <w:sz w:val="20"/>
        </w:rPr>
        <w:t>The review compared the current 36 items with the official Power Test page, the July 1996 Noesis publication, the April 1985 Omni Mega Test, a searchable Titan copy, and the official Ultra Test and sequence sheet. It then used exact-phrase, item-specific, image and method/theorem searches across archived Usenet discussions, Reddit, Physics Forums, StackExchange/Puzzling, other puzzle forums, blogs, books and academic sources. Earlier uploaded matrices and reports were treated as leads only: retained findings were independently reopened and checked, and discrepancies in dates and item-to-source mappings were corrected.</w:t>
      </w:r>
    </w:p>
    <w:p>
      <w:pPr>
        <w:spacing w:after="140"/>
      </w:pPr>
      <w:r>
        <w:rPr>
          <w:rFonts w:ascii="Calibri" w:hAnsi="Calibri"/>
          <w:b w:val="0"/>
          <w:i w:val="0"/>
          <w:sz w:val="20"/>
        </w:rPr>
        <w:t>As of 4 August 2026, the audit found high-confidence evidence of substantive public answer or hint exposure for 25 of 36 items, medium-confidence evidence for seven, and only prompt-level or no substantive match for four. Direct comparison maps 35 current items to predecessors: 13 Mega, 15 Titan and seven Ultra. "High confidence" describes confidence that relevant material was publicly available - not that every posted answer is correct or that a particular test-taker saw it. To avoid creating another answer key, the attachment omits numerical answer values while preserving URLs, dates and short method descriptions.</w:t>
      </w:r>
    </w:p>
    <w:p>
      <w:pPr/>
      <w:r>
        <w:t>A supplemental LLM-solvability assessment asks what a frontier multimodal model could do with the documented hints, item images, public-source browsing and code-based verification. It estimates that all seven medium items are within reach, about five reliably in one careful run, and that three of the four remaining low items are likely or plausible; Power 35 is the clearest holdout. These are reasoned forecasts, not controlled benchmark results. The audit also reclassifies Power 27 from low to medium because an exact 2017 public construction and a later public LLM-dataset candidate were found.</w:t>
      </w:r>
    </w:p>
    <w:p>
      <w:pPr>
        <w:spacing w:after="140"/>
      </w:pPr>
      <w:r>
        <w:rPr>
          <w:rFonts w:ascii="Calibri" w:hAnsi="Calibri"/>
          <w:b w:val="0"/>
          <w:i w:val="0"/>
          <w:sz w:val="20"/>
        </w:rPr>
        <w:t>The two-page executive report is followed by a 36-item evidence matrix, detailed Mega-to-Power and Ultra-to-Power carryover tables, a scenario-based LLM-solvability assessment, a linked source and query log, access limitations, and the verbatim research prompt. I would appreciate your review of the sources and any guidance on how potential prior exposure - including exposure through a predecessor test - should be considered when evaluating a score.</w:t>
      </w:r>
    </w:p>
    <w:p>
      <w:pPr>
        <w:spacing w:after="140"/>
      </w:pPr>
      <w:r>
        <w:rPr>
          <w:rFonts w:ascii="Calibri" w:hAnsi="Calibri"/>
          <w:b w:val="0"/>
          <w:i w:val="0"/>
          <w:sz w:val="20"/>
        </w:rPr>
        <w:t>Sincerely,</w:t>
      </w:r>
    </w:p>
    <w:p>
      <w:pPr>
        <w:spacing w:after="140"/>
      </w:pPr>
      <w:r>
        <w:rPr>
          <w:rFonts w:ascii="Calibri" w:hAnsi="Calibri"/>
          <w:b w:val="0"/>
          <w:i w:val="0"/>
          <w:sz w:val="20"/>
        </w:rPr>
        <w:t>[Name]</w:t>
      </w:r>
    </w:p>
    <w:sectPr w:rsidR="00FC693F" w:rsidRPr="0006063C" w:rsidSect="00034616">
      <w:pgSz w:w="12240" w:h="15840"/>
      <w:pgMar w:top="1037" w:right="1152" w:bottom="936" w:left="1152"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667085"/>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4" w:color="2E74B5"/>
      </w:pBdr>
    </w:pPr>
    <w:r>
      <w:rPr>
        <w:rFonts w:ascii="Calibri" w:hAnsi="Calibri"/>
        <w:b w:val="0"/>
        <w:i w:val="0"/>
        <w:sz w:val="14"/>
      </w:rPr>
      <w:t>PUBLIC-SOURCE EXPOSURE AUDIT  |  4 AUG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roups.google.com/g/rec.puzzles/c/Pk756QuOork" TargetMode="External"/><Relationship Id="rId12" Type="http://schemas.openxmlformats.org/officeDocument/2006/relationships/hyperlink" Target="https://groups.google.com/g/rec.puzzles/c/hpC-_IgMmZw" TargetMode="External"/><Relationship Id="rId13" Type="http://schemas.openxmlformats.org/officeDocument/2006/relationships/hyperlink" Target="https://www.physicsforums.com/threads/octahedron-problem-how-many-color-patterns.288312/" TargetMode="External"/><Relationship Id="rId14" Type="http://schemas.openxmlformats.org/officeDocument/2006/relationships/hyperlink" Target="https://www.scribd.com/doc/253577266/Mega-Society-Titan-Test" TargetMode="External"/><Relationship Id="rId15" Type="http://schemas.openxmlformats.org/officeDocument/2006/relationships/hyperlink" Target="https://groups.google.com/g/rec.puzzles/c/_B_FTJxS_Ys" TargetMode="External"/><Relationship Id="rId16" Type="http://schemas.openxmlformats.org/officeDocument/2006/relationships/hyperlink" Target="https://metamerist.blogspot.com/2007/08/hard-puzzles-like-butter.html" TargetMode="External"/><Relationship Id="rId17" Type="http://schemas.openxmlformats.org/officeDocument/2006/relationships/hyperlink" Target="https://www.reddit.com/r/math/comments/ai97q/the_hoeflin_power_test_very_difficult_iqlogicmath/" TargetMode="External"/><Relationship Id="rId18" Type="http://schemas.openxmlformats.org/officeDocument/2006/relationships/hyperlink" Target="https://www.reddit.com/r/slatestarcodex/comments/a38tik/the_mega_test_and_bullshitchristopher_langan/" TargetMode="External"/><Relationship Id="rId19" Type="http://schemas.openxmlformats.org/officeDocument/2006/relationships/hyperlink" Target="https://www.themathdoctors.org/cutting-up-space-using-n-planes/" TargetMode="External"/><Relationship Id="rId20" Type="http://schemas.openxmlformats.org/officeDocument/2006/relationships/hyperlink" Target="https://www.freemathhelp.com/forum/threads/volumetric-displacement-question-3-000-barrels-of-toxic-chemicals.109742/" TargetMode="External"/><Relationship Id="rId21" Type="http://schemas.openxmlformats.org/officeDocument/2006/relationships/hyperlink" Target="https://www.cnblogs.com/kakrat/archive/2008/09/18/1293224.html" TargetMode="External"/><Relationship Id="rId22" Type="http://schemas.openxmlformats.org/officeDocument/2006/relationships/hyperlink" Target="https://www.washingtonpost.com/archive/local/1988/11/28/is-176-iq-enough-in-white-house/c0535981-650c-4c33-a233-78babc3006e0/" TargetMode="External"/><Relationship Id="rId23" Type="http://schemas.openxmlformats.org/officeDocument/2006/relationships/hyperlink" Target="https://gamedev.net/forums/topic/408053-what-is-your-iq/3716929/" TargetMode="External"/><Relationship Id="rId24" Type="http://schemas.openxmlformats.org/officeDocument/2006/relationships/hyperlink" Target="https://news.ycombinator.com/item?id=14472265" TargetMode="External"/><Relationship Id="rId25" Type="http://schemas.openxmlformats.org/officeDocument/2006/relationships/hyperlink" Target="https://puzzling.stackexchange.com/questions/91881/what-is-the-three-cube-problem-in-the-mega-test" TargetMode="External"/><Relationship Id="rId26" Type="http://schemas.openxmlformats.org/officeDocument/2006/relationships/hyperlink" Target="https://math.stackexchange.com/questions/1371864/ten-marbles-put-in-a-box-colour-of-each-set-by-toss-of-a-fair-coin-you-draw-w" TargetMode="External"/><Relationship Id="rId27" Type="http://schemas.openxmlformats.org/officeDocument/2006/relationships/hyperlink" Target="https://www.reddit.com/r/cognitiveTesting/comments/1h9fou5/sequence_puzzles_help/" TargetMode="External"/><Relationship Id="rId28" Type="http://schemas.openxmlformats.org/officeDocument/2006/relationships/hyperlink" Target="https://groups.google.com/g/rec.puzzles/c/6_LEKQOk5ks" TargetMode="External"/><Relationship Id="rId29" Type="http://schemas.openxmlformats.org/officeDocument/2006/relationships/hyperlink" Target="https://megasociety.org/admission/power/" TargetMode="External"/><Relationship Id="rId30" Type="http://schemas.openxmlformats.org/officeDocument/2006/relationships/hyperlink" Target="https://ar5iv.labs.arxiv.org/html/1010.5486" TargetMode="External"/><Relationship Id="rId31" Type="http://schemas.openxmlformats.org/officeDocument/2006/relationships/hyperlink" Target="https://www.ias.ac.in/article/fulltext/reso/023/12/1395-1410" TargetMode="External"/><Relationship Id="rId32" Type="http://schemas.openxmlformats.org/officeDocument/2006/relationships/hyperlink" Target="https://www.freemathhelp.com/forum/threads/dodecahedron-scraps.129053/" TargetMode="External"/><Relationship Id="rId33" Type="http://schemas.openxmlformats.org/officeDocument/2006/relationships/hyperlink" Target="https://megasociety.org/noesis/121.pdf" TargetMode="External"/><Relationship Id="rId34" Type="http://schemas.openxmlformats.org/officeDocument/2006/relationships/hyperlink" Target="https://groups.google.com/g/rec.puzzles/c/FeATkqLdQo8" TargetMode="External"/><Relationship Id="rId35" Type="http://schemas.openxmlformats.org/officeDocument/2006/relationships/hyperlink" Target="https://rec.puzzles.narkive.com/RSLtcQxT/answers-to-the-titan-test-a-phoney-iq-test" TargetMode="External"/><Relationship Id="rId36" Type="http://schemas.openxmlformats.org/officeDocument/2006/relationships/hyperlink" Target="https://www.mdpi.com/2624-8611/2/2/10" TargetMode="External"/><Relationship Id="rId37" Type="http://schemas.openxmlformats.org/officeDocument/2006/relationships/hyperlink" Target="https://www.scribd.com/document/829939923/titan-test-solution" TargetMode="External"/><Relationship Id="rId38" Type="http://schemas.openxmlformats.org/officeDocument/2006/relationships/hyperlink" Target="https://www.docdroid.net/file/download/DvwMtpk/megatest-april-1985-omni-mag-pdf.pdf" TargetMode="External"/><Relationship Id="rId39" Type="http://schemas.openxmlformats.org/officeDocument/2006/relationships/hyperlink" Target="https://megasociety.org/admission/ultra/" TargetMode="External"/><Relationship Id="rId40" Type="http://schemas.openxmlformats.org/officeDocument/2006/relationships/hyperlink" Target="https://www.scribd.com/document/402818061/Notes-Collected-by-Gabriel-F-Calvo-OMNI-IQ-Test-problems-2017-pdf" TargetMode="External"/><Relationship Id="rId41" Type="http://schemas.openxmlformats.org/officeDocument/2006/relationships/hyperlink" Target="https://www.freemathhelp.com/forum/threads/visualization-problem-dots-and-lines.109715/" TargetMode="External"/><Relationship Id="rId42" Type="http://schemas.openxmlformats.org/officeDocument/2006/relationships/hyperlink" Target="https://math.stackexchange.com/questions/4689341/number-of-pair-of-edges-of-a-dodecahedron-up-to-rotational-symmetry" TargetMode="External"/><Relationship Id="rId43" Type="http://schemas.openxmlformats.org/officeDocument/2006/relationships/hyperlink" Target="https://megasociety.org/#admission" TargetMode="External"/><Relationship Id="rId44" Type="http://schemas.openxmlformats.org/officeDocument/2006/relationships/hyperlink" Target="https://megasociety.org/noesis/217.pdf" TargetMode="External"/><Relationship Id="rId45" Type="http://schemas.openxmlformats.org/officeDocument/2006/relationships/hyperlink" Target="https://math.stackexchange.com/questions/2424226/interpenetrating-solids" TargetMode="External"/><Relationship Id="rId46" Type="http://schemas.openxmlformats.org/officeDocument/2006/relationships/hyperlink" Target="https://huggingface.co/datasets/Ujan/deepmath_trace_6/viewer/default/train" TargetMode="External"/><Relationship Id="rId47" Type="http://schemas.openxmlformats.org/officeDocument/2006/relationships/hyperlink" Target="https://megasociety.org/admission/ultra/norm" TargetMode="External"/><Relationship Id="rId48" Type="http://schemas.openxmlformats.org/officeDocument/2006/relationships/hyperlink" Target="https://arxiv.org/abs/2504.15279" TargetMode="External"/><Relationship Id="rId49" Type="http://schemas.openxmlformats.org/officeDocument/2006/relationships/hyperlink" Target="https://arxiv.org/abs/2503.23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Exposure Audit of the Hoeflin Power Test</dc:title>
  <dc:subject>Public-source prior-exposure review</dc:subject>
  <dc:creator>Independent public-source review</dc:creator>
  <cp:keywords>Hoeflin Power Test; Mega Society; public exposure; audit</cp:keywords>
  <dc:description>generated by python-docx</dc:description>
  <cp:lastModifiedBy/>
  <cp:revision>1</cp:revision>
  <dcterms:created xsi:type="dcterms:W3CDTF">2013-12-23T23:15:00Z</dcterms:created>
  <dcterms:modified xsi:type="dcterms:W3CDTF">2013-12-23T23:15:00Z</dcterms:modified>
  <cp:category/>
</cp:coreProperties>
</file>